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1D263">
      <w:pPr>
        <w:pStyle w:val="257"/>
        <w:rPr>
          <w:rStyle w:val="261"/>
          <w:rFonts w:hint="eastAsia" w:ascii="宋体" w:hAnsi="宋体"/>
          <w:color w:val="auto"/>
          <w:sz w:val="72"/>
          <w:szCs w:val="72"/>
          <w:highlight w:val="none"/>
        </w:rPr>
      </w:pPr>
    </w:p>
    <w:p w14:paraId="58644D9D">
      <w:pPr>
        <w:widowControl/>
        <w:spacing w:before="75" w:beforeAutospacing="0" w:after="75" w:afterAutospacing="0" w:line="360" w:lineRule="auto"/>
        <w:jc w:val="center"/>
        <w:rPr>
          <w:rStyle w:val="41"/>
          <w:rFonts w:ascii="宋体" w:hAnsi="宋体" w:eastAsia="宋体" w:cs="宋体"/>
          <w:color w:val="auto"/>
          <w:kern w:val="0"/>
          <w:sz w:val="72"/>
          <w:szCs w:val="72"/>
          <w:highlight w:val="none"/>
          <w:lang w:val="en-US" w:eastAsia="zh-CN" w:bidi="ar-SA"/>
        </w:rPr>
      </w:pPr>
      <w:r>
        <w:rPr>
          <w:rStyle w:val="41"/>
          <w:rFonts w:hint="eastAsia" w:ascii="宋体" w:hAnsi="宋体" w:cs="宋体"/>
          <w:color w:val="auto"/>
          <w:kern w:val="2"/>
          <w:sz w:val="72"/>
          <w:szCs w:val="72"/>
          <w:highlight w:val="none"/>
          <w:lang w:val="en-US" w:eastAsia="zh-CN" w:bidi="ar-SA"/>
        </w:rPr>
        <w:t>苏州高新区政府采购</w:t>
      </w:r>
    </w:p>
    <w:p w14:paraId="74E351A1">
      <w:pPr>
        <w:pStyle w:val="257"/>
        <w:spacing w:line="360" w:lineRule="auto"/>
        <w:rPr>
          <w:rStyle w:val="261"/>
          <w:rFonts w:hint="eastAsia" w:ascii="宋体" w:hAnsi="宋体"/>
          <w:color w:val="auto"/>
          <w:sz w:val="72"/>
          <w:szCs w:val="72"/>
          <w:highlight w:val="none"/>
        </w:rPr>
      </w:pPr>
      <w:r>
        <w:rPr>
          <w:rStyle w:val="41"/>
          <w:rFonts w:hint="eastAsia" w:ascii="宋体" w:hAnsi="宋体" w:cs="宋体"/>
          <w:color w:val="auto"/>
          <w:kern w:val="2"/>
          <w:sz w:val="72"/>
          <w:szCs w:val="72"/>
          <w:highlight w:val="none"/>
          <w:lang w:val="en-US" w:eastAsia="zh-CN" w:bidi="ar-SA"/>
        </w:rPr>
        <w:t>服务类磋商</w:t>
      </w:r>
      <w:r>
        <w:rPr>
          <w:rStyle w:val="41"/>
          <w:rFonts w:ascii="宋体" w:hAnsi="宋体" w:cs="宋体"/>
          <w:color w:val="auto"/>
          <w:kern w:val="2"/>
          <w:sz w:val="72"/>
          <w:szCs w:val="72"/>
          <w:highlight w:val="none"/>
          <w:lang w:val="en-US" w:eastAsia="zh-CN" w:bidi="ar-SA"/>
        </w:rPr>
        <w:t>项目</w:t>
      </w:r>
    </w:p>
    <w:p w14:paraId="5904BDBD">
      <w:pPr>
        <w:pStyle w:val="257"/>
        <w:rPr>
          <w:color w:val="auto"/>
          <w:highlight w:val="none"/>
        </w:rPr>
      </w:pPr>
    </w:p>
    <w:p w14:paraId="77694ABA">
      <w:pPr>
        <w:pStyle w:val="257"/>
        <w:rPr>
          <w:color w:val="auto"/>
          <w:highlight w:val="none"/>
        </w:rPr>
      </w:pPr>
    </w:p>
    <w:p w14:paraId="6D28DDF2">
      <w:pPr>
        <w:pStyle w:val="257"/>
        <w:rPr>
          <w:rStyle w:val="261"/>
          <w:rFonts w:hint="eastAsia" w:ascii="宋体" w:hAnsi="宋体"/>
          <w:color w:val="auto"/>
          <w:sz w:val="72"/>
          <w:szCs w:val="72"/>
          <w:highlight w:val="none"/>
        </w:rPr>
      </w:pPr>
    </w:p>
    <w:p w14:paraId="19C5D019">
      <w:pPr>
        <w:widowControl w:val="0"/>
        <w:spacing w:line="360" w:lineRule="auto"/>
        <w:ind w:firstLine="964"/>
        <w:jc w:val="both"/>
        <w:rPr>
          <w:rFonts w:hint="eastAsia" w:ascii="宋体" w:hAnsi="宋体" w:eastAsia="宋体" w:cs="宋体"/>
          <w:b/>
          <w:bCs/>
          <w:color w:val="auto"/>
          <w:sz w:val="32"/>
          <w:szCs w:val="32"/>
          <w:highlight w:val="none"/>
          <w:u w:val="single"/>
          <w:lang w:eastAsia="zh-CN"/>
        </w:rPr>
      </w:pPr>
      <w:r>
        <w:rPr>
          <w:rFonts w:ascii="宋体" w:hAnsi="宋体" w:eastAsia="宋体" w:cs="宋体"/>
          <w:b/>
          <w:bCs/>
          <w:color w:val="auto"/>
          <w:sz w:val="32"/>
          <w:szCs w:val="32"/>
          <w:highlight w:val="none"/>
        </w:rPr>
        <w:t>采购编号：</w:t>
      </w:r>
      <w:r>
        <w:rPr>
          <w:rFonts w:hint="eastAsia" w:ascii="宋体" w:hAnsi="宋体" w:cs="Times New Roman"/>
          <w:b/>
          <w:bCs/>
          <w:color w:val="auto"/>
          <w:sz w:val="32"/>
          <w:szCs w:val="32"/>
          <w:highlight w:val="none"/>
          <w:u w:val="single"/>
          <w:lang w:eastAsia="zh-CN"/>
        </w:rPr>
        <w:t>JSZC-320505-CJZT-C2025-0015</w:t>
      </w:r>
    </w:p>
    <w:p w14:paraId="2B3A8A95">
      <w:pPr>
        <w:widowControl w:val="0"/>
        <w:spacing w:line="360" w:lineRule="auto"/>
        <w:ind w:firstLine="964"/>
        <w:jc w:val="both"/>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采购项目：</w:t>
      </w:r>
      <w:r>
        <w:rPr>
          <w:rFonts w:hint="eastAsia" w:ascii="宋体" w:hAnsi="宋体" w:cs="宋体"/>
          <w:b/>
          <w:bCs/>
          <w:color w:val="auto"/>
          <w:sz w:val="32"/>
          <w:szCs w:val="32"/>
          <w:highlight w:val="none"/>
          <w:u w:val="single"/>
          <w:lang w:eastAsia="zh-CN"/>
        </w:rPr>
        <w:t>苏州浒墅关经济技术开发区社区管理办公室食堂外包项目</w:t>
      </w:r>
    </w:p>
    <w:p w14:paraId="6C3A23D2">
      <w:pPr>
        <w:spacing w:line="360" w:lineRule="auto"/>
        <w:ind w:firstLine="904"/>
        <w:rPr>
          <w:rFonts w:hint="eastAsia" w:cs="宋体"/>
          <w:b/>
          <w:color w:val="auto"/>
          <w:sz w:val="30"/>
          <w:szCs w:val="30"/>
          <w:highlight w:val="none"/>
        </w:rPr>
      </w:pPr>
      <w:r>
        <w:rPr>
          <w:rStyle w:val="41"/>
          <w:rFonts w:hint="eastAsia" w:ascii="宋体" w:hAnsi="宋体" w:cs="宋体"/>
          <w:color w:val="auto"/>
          <w:sz w:val="30"/>
          <w:szCs w:val="30"/>
          <w:highlight w:val="none"/>
        </w:rPr>
        <w:t>采购单位：</w:t>
      </w:r>
      <w:r>
        <w:rPr>
          <w:rStyle w:val="41"/>
          <w:rFonts w:hint="eastAsia" w:ascii="宋体" w:hAnsi="宋体" w:cs="宋体"/>
          <w:color w:val="auto"/>
          <w:sz w:val="30"/>
          <w:szCs w:val="30"/>
          <w:highlight w:val="none"/>
          <w:u w:val="single"/>
          <w:lang w:eastAsia="zh-CN"/>
        </w:rPr>
        <w:t>苏州市浒墅关经济技术开发区社区管理办公室</w:t>
      </w:r>
    </w:p>
    <w:p w14:paraId="389730D8">
      <w:pPr>
        <w:widowControl w:val="0"/>
        <w:spacing w:line="360" w:lineRule="auto"/>
        <w:ind w:firstLine="964"/>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u w:val="single"/>
        </w:rPr>
        <w:t>苏州市诚捷项目管理有限公司</w:t>
      </w:r>
    </w:p>
    <w:p w14:paraId="59FD3799">
      <w:pPr>
        <w:widowControl w:val="0"/>
        <w:spacing w:line="360" w:lineRule="auto"/>
        <w:ind w:firstLine="964"/>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采购类别：</w:t>
      </w:r>
      <w:r>
        <w:rPr>
          <w:rFonts w:hint="eastAsia" w:ascii="宋体" w:hAnsi="宋体" w:eastAsia="宋体" w:cs="宋体"/>
          <w:b/>
          <w:bCs/>
          <w:color w:val="auto"/>
          <w:sz w:val="32"/>
          <w:szCs w:val="32"/>
          <w:highlight w:val="none"/>
          <w:u w:val="single"/>
        </w:rPr>
        <w:t>服务类</w:t>
      </w:r>
    </w:p>
    <w:p w14:paraId="55328435">
      <w:pPr>
        <w:widowControl w:val="0"/>
        <w:spacing w:line="360" w:lineRule="auto"/>
        <w:ind w:firstLine="630"/>
        <w:jc w:val="both"/>
        <w:rPr>
          <w:rFonts w:ascii="宋体" w:hAnsi="宋体" w:eastAsia="宋体"/>
          <w:color w:val="auto"/>
          <w:highlight w:val="none"/>
        </w:rPr>
      </w:pPr>
    </w:p>
    <w:p w14:paraId="46A1771E">
      <w:pPr>
        <w:widowControl w:val="0"/>
        <w:spacing w:line="360" w:lineRule="auto"/>
        <w:ind w:firstLine="420"/>
        <w:jc w:val="both"/>
        <w:rPr>
          <w:rFonts w:ascii="宋体" w:hAnsi="宋体" w:eastAsia="宋体"/>
          <w:color w:val="auto"/>
          <w:highlight w:val="none"/>
        </w:rPr>
      </w:pPr>
    </w:p>
    <w:p w14:paraId="2A8DE97F">
      <w:pPr>
        <w:widowControl w:val="0"/>
        <w:spacing w:line="360" w:lineRule="auto"/>
        <w:ind w:firstLine="420"/>
        <w:jc w:val="both"/>
        <w:rPr>
          <w:rFonts w:ascii="宋体" w:hAnsi="宋体" w:eastAsia="宋体"/>
          <w:color w:val="auto"/>
          <w:highlight w:val="none"/>
        </w:rPr>
      </w:pPr>
    </w:p>
    <w:p w14:paraId="76971E9A">
      <w:pPr>
        <w:widowControl w:val="0"/>
        <w:spacing w:line="360" w:lineRule="auto"/>
        <w:ind w:firstLine="0"/>
        <w:jc w:val="both"/>
        <w:rPr>
          <w:rFonts w:ascii="宋体" w:hAnsi="宋体" w:eastAsia="宋体"/>
          <w:color w:val="auto"/>
          <w:highlight w:val="none"/>
        </w:rPr>
      </w:pPr>
    </w:p>
    <w:p w14:paraId="67671BAF">
      <w:pPr>
        <w:widowControl w:val="0"/>
        <w:spacing w:line="360" w:lineRule="auto"/>
        <w:ind w:firstLine="653"/>
        <w:jc w:val="center"/>
        <w:rPr>
          <w:rFonts w:ascii="宋体" w:hAnsi="宋体" w:eastAsia="宋体" w:cs="宋体"/>
          <w:b/>
          <w:bCs/>
          <w:color w:val="auto"/>
          <w:sz w:val="32"/>
          <w:szCs w:val="32"/>
          <w:highlight w:val="none"/>
        </w:rPr>
      </w:pPr>
    </w:p>
    <w:p w14:paraId="7BFA23C3">
      <w:pPr>
        <w:widowControl w:val="0"/>
        <w:spacing w:line="360" w:lineRule="auto"/>
        <w:ind w:firstLine="653"/>
        <w:jc w:val="center"/>
        <w:rPr>
          <w:rFonts w:ascii="宋体" w:hAnsi="宋体" w:eastAsia="宋体" w:cs="宋体"/>
          <w:b/>
          <w:bCs/>
          <w:color w:val="auto"/>
          <w:sz w:val="30"/>
          <w:szCs w:val="30"/>
          <w:highlight w:val="none"/>
        </w:rPr>
      </w:pPr>
      <w:r>
        <w:rPr>
          <w:rFonts w:ascii="宋体" w:hAnsi="宋体" w:eastAsia="宋体" w:cs="宋体"/>
          <w:b/>
          <w:bCs/>
          <w:color w:val="auto"/>
          <w:sz w:val="32"/>
          <w:szCs w:val="32"/>
          <w:highlight w:val="none"/>
        </w:rPr>
        <w:t>二〇二</w:t>
      </w:r>
      <w:r>
        <w:rPr>
          <w:rFonts w:hint="eastAsia" w:ascii="宋体" w:hAnsi="宋体" w:cs="宋体"/>
          <w:b/>
          <w:bCs/>
          <w:color w:val="auto"/>
          <w:sz w:val="32"/>
          <w:szCs w:val="32"/>
          <w:highlight w:val="none"/>
          <w:lang w:val="en-US" w:eastAsia="zh-CN"/>
        </w:rPr>
        <w:t>五</w:t>
      </w:r>
      <w:r>
        <w:rPr>
          <w:rFonts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十二</w:t>
      </w:r>
      <w:r>
        <w:rPr>
          <w:rFonts w:ascii="宋体" w:hAnsi="宋体" w:eastAsia="宋体" w:cs="宋体"/>
          <w:b/>
          <w:bCs/>
          <w:color w:val="auto"/>
          <w:sz w:val="32"/>
          <w:szCs w:val="32"/>
          <w:highlight w:val="none"/>
        </w:rPr>
        <w:t>月</w:t>
      </w:r>
    </w:p>
    <w:p w14:paraId="319DB31B">
      <w:pPr>
        <w:pStyle w:val="257"/>
        <w:spacing w:line="360" w:lineRule="auto"/>
        <w:rPr>
          <w:color w:val="auto"/>
          <w:highlight w:val="none"/>
        </w:rPr>
      </w:pPr>
    </w:p>
    <w:p w14:paraId="3057A0B1">
      <w:pPr>
        <w:pStyle w:val="257"/>
        <w:spacing w:line="360" w:lineRule="auto"/>
        <w:ind w:firstLine="1355"/>
        <w:jc w:val="left"/>
        <w:rPr>
          <w:rStyle w:val="261"/>
          <w:rFonts w:hint="eastAsia" w:ascii="宋体" w:hAnsi="宋体"/>
          <w:color w:val="auto"/>
          <w:sz w:val="30"/>
          <w:szCs w:val="30"/>
          <w:highlight w:val="none"/>
        </w:rPr>
      </w:pPr>
    </w:p>
    <w:p w14:paraId="7AA8CB7D">
      <w:pPr>
        <w:spacing w:line="360" w:lineRule="auto"/>
        <w:jc w:val="both"/>
        <w:rPr>
          <w:rFonts w:hint="eastAsia" w:ascii="宋体" w:hAnsi="宋体" w:cs="黑体"/>
          <w:color w:val="auto"/>
          <w:sz w:val="36"/>
          <w:szCs w:val="36"/>
          <w:highlight w:val="none"/>
          <w:u w:val="single"/>
        </w:rPr>
      </w:pPr>
    </w:p>
    <w:p w14:paraId="0287CD8E">
      <w:pPr>
        <w:tabs>
          <w:tab w:val="left" w:pos="315"/>
          <w:tab w:val="center" w:pos="4153"/>
        </w:tabs>
        <w:jc w:val="center"/>
        <w:rPr>
          <w:rFonts w:hint="eastAsia" w:ascii="宋体" w:hAnsi="宋体" w:cs="宋体"/>
          <w:b/>
          <w:color w:val="auto"/>
          <w:sz w:val="52"/>
          <w:szCs w:val="52"/>
          <w:highlight w:val="none"/>
        </w:rPr>
      </w:pPr>
    </w:p>
    <w:p w14:paraId="698015F2">
      <w:pPr>
        <w:tabs>
          <w:tab w:val="left" w:pos="315"/>
          <w:tab w:val="center" w:pos="4153"/>
        </w:tabs>
        <w:jc w:val="center"/>
        <w:rPr>
          <w:rFonts w:hint="eastAsia" w:ascii="宋体" w:hAnsi="宋体" w:cs="宋体"/>
          <w:b/>
          <w:color w:val="auto"/>
          <w:sz w:val="52"/>
          <w:szCs w:val="52"/>
          <w:highlight w:val="none"/>
        </w:rPr>
      </w:pPr>
    </w:p>
    <w:sdt>
      <w:sdtPr>
        <w:rPr>
          <w:rFonts w:ascii="宋体" w:hAnsi="宋体"/>
          <w:color w:val="auto"/>
          <w:sz w:val="24"/>
          <w:szCs w:val="24"/>
          <w:highlight w:val="none"/>
        </w:rPr>
        <w:id w:val="147478605"/>
        <w15:color w:val="DBDBDB"/>
        <w:docPartObj>
          <w:docPartGallery w:val="Table of Contents"/>
          <w:docPartUnique/>
        </w:docPartObj>
      </w:sdtPr>
      <w:sdtEndPr>
        <w:rPr>
          <w:rFonts w:ascii="宋体" w:hAnsi="宋体"/>
          <w:color w:val="auto"/>
          <w:sz w:val="24"/>
          <w:szCs w:val="24"/>
          <w:highlight w:val="none"/>
        </w:rPr>
      </w:sdtEndPr>
      <w:sdtContent>
        <w:p w14:paraId="46A241CF">
          <w:pPr>
            <w:spacing w:line="48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目    录</w:t>
          </w:r>
        </w:p>
        <w:p w14:paraId="68030E99">
          <w:pPr>
            <w:pStyle w:val="26"/>
            <w:tabs>
              <w:tab w:val="right" w:leader="dot" w:pos="9366"/>
            </w:tabs>
            <w:spacing w:line="480" w:lineRule="auto"/>
            <w:rPr>
              <w:rFonts w:hint="eastAsia" w:ascii="宋体" w:hAnsi="宋体" w:cs="宋体"/>
              <w:color w:val="auto"/>
              <w:sz w:val="30"/>
              <w:szCs w:val="30"/>
              <w:highlight w:val="none"/>
            </w:rPr>
          </w:pPr>
          <w:r>
            <w:rPr>
              <w:rStyle w:val="261"/>
              <w:rFonts w:hint="eastAsia" w:ascii="宋体" w:hAnsi="宋体" w:cs="宋体"/>
              <w:color w:val="auto"/>
              <w:highlight w:val="none"/>
            </w:rPr>
            <w:fldChar w:fldCharType="begin"/>
          </w:r>
          <w:r>
            <w:rPr>
              <w:rStyle w:val="261"/>
              <w:rFonts w:hint="eastAsia" w:ascii="宋体" w:hAnsi="宋体" w:cs="宋体"/>
              <w:color w:val="auto"/>
              <w:sz w:val="30"/>
              <w:szCs w:val="30"/>
              <w:highlight w:val="none"/>
            </w:rPr>
            <w:instrText xml:space="preserve">TOC \o "1-1" \h \u </w:instrText>
          </w:r>
          <w:r>
            <w:rPr>
              <w:rStyle w:val="261"/>
              <w:rFonts w:hint="eastAsia" w:ascii="宋体" w:hAnsi="宋体" w:cs="宋体"/>
              <w:color w:val="auto"/>
              <w:highlight w:val="none"/>
            </w:rPr>
            <w:fldChar w:fldCharType="separate"/>
          </w:r>
          <w:r>
            <w:rPr>
              <w:color w:val="auto"/>
              <w:highlight w:val="none"/>
            </w:rPr>
            <w:fldChar w:fldCharType="begin"/>
          </w:r>
          <w:r>
            <w:rPr>
              <w:color w:val="auto"/>
              <w:highlight w:val="none"/>
            </w:rPr>
            <w:instrText xml:space="preserve"> HYPERLINK \l "_Toc21211" </w:instrText>
          </w:r>
          <w:r>
            <w:rPr>
              <w:color w:val="auto"/>
              <w:highlight w:val="none"/>
            </w:rPr>
            <w:fldChar w:fldCharType="separate"/>
          </w:r>
          <w:r>
            <w:rPr>
              <w:rFonts w:hint="eastAsia" w:ascii="宋体" w:hAnsi="宋体" w:cs="宋体"/>
              <w:color w:val="auto"/>
              <w:sz w:val="30"/>
              <w:szCs w:val="30"/>
              <w:highlight w:val="none"/>
            </w:rPr>
            <w:t>第一章  磋商邀请函</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_Toc21211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3</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59E95CF2">
          <w:pPr>
            <w:pStyle w:val="26"/>
            <w:tabs>
              <w:tab w:val="right" w:leader="dot" w:pos="9366"/>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"_Toc27175" </w:instrText>
          </w:r>
          <w:r>
            <w:rPr>
              <w:color w:val="auto"/>
              <w:highlight w:val="none"/>
            </w:rPr>
            <w:fldChar w:fldCharType="separate"/>
          </w:r>
          <w:r>
            <w:rPr>
              <w:rFonts w:hint="eastAsia" w:ascii="宋体" w:hAnsi="宋体" w:cs="宋体"/>
              <w:color w:val="auto"/>
              <w:sz w:val="30"/>
              <w:szCs w:val="30"/>
              <w:highlight w:val="none"/>
            </w:rPr>
            <w:t>第二章  磋商须知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_Toc27175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7</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57665279">
          <w:pPr>
            <w:pStyle w:val="26"/>
            <w:tabs>
              <w:tab w:val="right" w:leader="dot" w:pos="9366"/>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"_Toc8141" </w:instrText>
          </w:r>
          <w:r>
            <w:rPr>
              <w:color w:val="auto"/>
              <w:highlight w:val="none"/>
            </w:rPr>
            <w:fldChar w:fldCharType="separate"/>
          </w:r>
          <w:r>
            <w:rPr>
              <w:rFonts w:hint="eastAsia" w:ascii="宋体" w:hAnsi="宋体" w:cs="宋体"/>
              <w:bCs/>
              <w:color w:val="auto"/>
              <w:sz w:val="30"/>
              <w:szCs w:val="30"/>
              <w:highlight w:val="none"/>
            </w:rPr>
            <w:t xml:space="preserve">第三章 </w:t>
          </w:r>
          <w:r>
            <w:rPr>
              <w:rFonts w:hint="eastAsia" w:ascii="宋体" w:hAnsi="宋体" w:cs="宋体"/>
              <w:bCs/>
              <w:color w:val="auto"/>
              <w:sz w:val="30"/>
              <w:szCs w:val="30"/>
              <w:highlight w:val="none"/>
              <w:lang w:val="en-US" w:eastAsia="zh-CN"/>
            </w:rPr>
            <w:t xml:space="preserve"> </w:t>
          </w:r>
          <w:r>
            <w:rPr>
              <w:rFonts w:hint="eastAsia" w:ascii="宋体" w:hAnsi="宋体" w:cs="宋体"/>
              <w:bCs/>
              <w:color w:val="auto"/>
              <w:sz w:val="30"/>
              <w:szCs w:val="30"/>
              <w:highlight w:val="none"/>
            </w:rPr>
            <w:t>磋商响应文件格式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_Toc8141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22</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1329CD13">
          <w:pPr>
            <w:pStyle w:val="26"/>
            <w:tabs>
              <w:tab w:val="right" w:leader="dot" w:pos="9366"/>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"_Toc22762" </w:instrText>
          </w:r>
          <w:r>
            <w:rPr>
              <w:color w:val="auto"/>
              <w:highlight w:val="none"/>
            </w:rPr>
            <w:fldChar w:fldCharType="separate"/>
          </w:r>
          <w:r>
            <w:rPr>
              <w:rFonts w:hint="eastAsia" w:ascii="宋体" w:hAnsi="宋体" w:cs="宋体"/>
              <w:color w:val="auto"/>
              <w:sz w:val="30"/>
              <w:szCs w:val="30"/>
              <w:highlight w:val="none"/>
            </w:rPr>
            <w:t xml:space="preserve">第四章 </w:t>
          </w:r>
          <w:r>
            <w:rPr>
              <w:rFonts w:hint="eastAsia" w:ascii="宋体" w:hAnsi="宋体" w:cs="宋体"/>
              <w:color w:val="auto"/>
              <w:sz w:val="30"/>
              <w:szCs w:val="30"/>
              <w:highlight w:val="none"/>
              <w:lang w:val="en-US" w:eastAsia="zh-CN"/>
            </w:rPr>
            <w:t xml:space="preserve"> </w:t>
          </w:r>
          <w:r>
            <w:rPr>
              <w:rFonts w:hint="eastAsia" w:ascii="宋体" w:hAnsi="宋体" w:cs="宋体"/>
              <w:color w:val="auto"/>
              <w:sz w:val="30"/>
              <w:szCs w:val="30"/>
              <w:highlight w:val="none"/>
            </w:rPr>
            <w:t>采购内容</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_Toc22762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38</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195F7A27">
          <w:pPr>
            <w:pStyle w:val="26"/>
            <w:tabs>
              <w:tab w:val="right" w:leader="dot" w:pos="9366"/>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"_Toc31064" </w:instrText>
          </w:r>
          <w:r>
            <w:rPr>
              <w:color w:val="auto"/>
              <w:highlight w:val="none"/>
            </w:rPr>
            <w:fldChar w:fldCharType="separate"/>
          </w:r>
          <w:r>
            <w:rPr>
              <w:rFonts w:hint="eastAsia" w:ascii="宋体" w:hAnsi="宋体" w:cs="宋体"/>
              <w:bCs/>
              <w:color w:val="auto"/>
              <w:sz w:val="30"/>
              <w:szCs w:val="30"/>
              <w:highlight w:val="none"/>
            </w:rPr>
            <w:t xml:space="preserve">第五章 </w:t>
          </w:r>
          <w:r>
            <w:rPr>
              <w:rFonts w:hint="eastAsia" w:ascii="宋体" w:hAnsi="宋体" w:cs="宋体"/>
              <w:bCs/>
              <w:color w:val="auto"/>
              <w:sz w:val="30"/>
              <w:szCs w:val="30"/>
              <w:highlight w:val="none"/>
              <w:lang w:val="en-US" w:eastAsia="zh-CN"/>
            </w:rPr>
            <w:t xml:space="preserve"> </w:t>
          </w:r>
          <w:r>
            <w:rPr>
              <w:rFonts w:hint="eastAsia" w:ascii="宋体" w:hAnsi="宋体" w:cs="宋体"/>
              <w:color w:val="auto"/>
              <w:sz w:val="30"/>
              <w:szCs w:val="30"/>
              <w:highlight w:val="none"/>
            </w:rPr>
            <w:t>合同主要条款及格式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_Toc31064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46</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2194C901">
          <w:pPr>
            <w:pStyle w:val="26"/>
            <w:tabs>
              <w:tab w:val="right" w:leader="dot" w:pos="9366"/>
            </w:tabs>
            <w:spacing w:line="480" w:lineRule="auto"/>
            <w:rPr>
              <w:rFonts w:hint="eastAsia" w:ascii="宋体" w:hAnsi="宋体" w:cs="宋体"/>
              <w:color w:val="auto"/>
              <w:sz w:val="30"/>
              <w:szCs w:val="30"/>
              <w:highlight w:val="none"/>
            </w:rPr>
          </w:pPr>
          <w:r>
            <w:rPr>
              <w:color w:val="auto"/>
              <w:highlight w:val="none"/>
            </w:rPr>
            <w:fldChar w:fldCharType="begin"/>
          </w:r>
          <w:r>
            <w:rPr>
              <w:color w:val="auto"/>
              <w:highlight w:val="none"/>
            </w:rPr>
            <w:instrText xml:space="preserve"> HYPERLINK \l "_Toc26347" </w:instrText>
          </w:r>
          <w:r>
            <w:rPr>
              <w:color w:val="auto"/>
              <w:highlight w:val="none"/>
            </w:rPr>
            <w:fldChar w:fldCharType="separate"/>
          </w:r>
          <w:r>
            <w:rPr>
              <w:rFonts w:hint="eastAsia" w:ascii="宋体" w:hAnsi="宋体" w:cs="宋体"/>
              <w:bCs/>
              <w:color w:val="auto"/>
              <w:sz w:val="30"/>
              <w:szCs w:val="30"/>
              <w:highlight w:val="none"/>
            </w:rPr>
            <w:t xml:space="preserve">第六章 </w:t>
          </w:r>
          <w:r>
            <w:rPr>
              <w:rFonts w:hint="eastAsia" w:ascii="宋体" w:hAnsi="宋体" w:cs="宋体"/>
              <w:bCs/>
              <w:color w:val="auto"/>
              <w:sz w:val="30"/>
              <w:szCs w:val="30"/>
              <w:highlight w:val="none"/>
              <w:lang w:val="en-US" w:eastAsia="zh-CN"/>
            </w:rPr>
            <w:t xml:space="preserve"> </w:t>
          </w:r>
          <w:r>
            <w:rPr>
              <w:rFonts w:hint="eastAsia" w:ascii="宋体" w:hAnsi="宋体" w:cs="宋体"/>
              <w:bCs/>
              <w:color w:val="auto"/>
              <w:sz w:val="30"/>
              <w:szCs w:val="30"/>
              <w:highlight w:val="none"/>
            </w:rPr>
            <w:t>评审办法及评分标准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PAGEREF _Toc26347 \h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58</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rPr>
            <w:fldChar w:fldCharType="end"/>
          </w:r>
        </w:p>
        <w:p w14:paraId="2D4A87A6">
          <w:pPr>
            <w:pStyle w:val="257"/>
            <w:spacing w:line="480" w:lineRule="auto"/>
            <w:jc w:val="both"/>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end"/>
          </w:r>
        </w:p>
      </w:sdtContent>
    </w:sdt>
    <w:p w14:paraId="40CE4DAC">
      <w:pPr>
        <w:pStyle w:val="257"/>
        <w:rPr>
          <w:rFonts w:hint="eastAsia" w:ascii="宋体" w:hAnsi="宋体" w:cs="宋体"/>
          <w:color w:val="auto"/>
          <w:szCs w:val="43"/>
          <w:highlight w:val="none"/>
        </w:rPr>
      </w:pPr>
    </w:p>
    <w:p w14:paraId="72FF23F3">
      <w:pPr>
        <w:pStyle w:val="257"/>
        <w:rPr>
          <w:rStyle w:val="261"/>
          <w:rFonts w:hint="eastAsia" w:ascii="宋体" w:hAnsi="宋体" w:cs="宋体"/>
          <w:color w:val="auto"/>
          <w:sz w:val="43"/>
          <w:szCs w:val="43"/>
          <w:highlight w:val="none"/>
        </w:rPr>
      </w:pPr>
    </w:p>
    <w:p w14:paraId="2C3A02CE">
      <w:pPr>
        <w:spacing w:line="400" w:lineRule="exact"/>
        <w:rPr>
          <w:rFonts w:hint="eastAsia" w:ascii="宋体" w:hAnsi="宋体" w:cs="宋体"/>
          <w:color w:val="auto"/>
          <w:szCs w:val="21"/>
          <w:highlight w:val="none"/>
        </w:rPr>
      </w:pPr>
    </w:p>
    <w:p w14:paraId="4C488A88">
      <w:pPr>
        <w:spacing w:line="400" w:lineRule="exact"/>
        <w:rPr>
          <w:rFonts w:hint="eastAsia" w:ascii="宋体" w:hAnsi="宋体" w:cs="宋体"/>
          <w:color w:val="auto"/>
          <w:szCs w:val="21"/>
          <w:highlight w:val="none"/>
        </w:rPr>
      </w:pPr>
    </w:p>
    <w:p w14:paraId="4C67F557">
      <w:pPr>
        <w:spacing w:line="360" w:lineRule="auto"/>
        <w:jc w:val="center"/>
        <w:outlineLvl w:val="0"/>
        <w:rPr>
          <w:rFonts w:hint="eastAsia" w:ascii="宋体" w:hAnsi="宋体" w:cs="宋体"/>
          <w:color w:val="auto"/>
          <w:sz w:val="48"/>
          <w:szCs w:val="48"/>
          <w:highlight w:val="none"/>
        </w:rPr>
      </w:pPr>
      <w:r>
        <w:rPr>
          <w:rFonts w:hint="eastAsia" w:ascii="宋体" w:hAnsi="宋体" w:cs="宋体"/>
          <w:color w:val="auto"/>
          <w:szCs w:val="21"/>
          <w:highlight w:val="none"/>
        </w:rPr>
        <w:br w:type="page" w:clear="all"/>
      </w:r>
      <w:bookmarkStart w:id="0" w:name="_Toc21211"/>
      <w:r>
        <w:rPr>
          <w:rStyle w:val="261"/>
          <w:rFonts w:hint="eastAsia" w:ascii="宋体" w:hAnsi="宋体" w:cs="宋体"/>
          <w:color w:val="auto"/>
          <w:sz w:val="48"/>
          <w:szCs w:val="48"/>
          <w:highlight w:val="none"/>
        </w:rPr>
        <w:t>第一章  磋商邀请函</w:t>
      </w:r>
      <w:bookmarkEnd w:id="0"/>
    </w:p>
    <w:p w14:paraId="791E9424">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6B276023">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苏州浒墅关经济技术开发区社区管理办公室食堂外包项目</w:t>
      </w:r>
      <w:r>
        <w:rPr>
          <w:rFonts w:hint="eastAsia" w:ascii="宋体" w:hAnsi="宋体" w:cs="宋体"/>
          <w:color w:val="auto"/>
          <w:sz w:val="24"/>
          <w:szCs w:val="24"/>
          <w:highlight w:val="none"/>
          <w:u w:val="single"/>
        </w:rPr>
        <w:t>采购</w:t>
      </w:r>
      <w:r>
        <w:rPr>
          <w:rFonts w:hint="eastAsia" w:ascii="宋体" w:hAnsi="宋体" w:cs="宋体"/>
          <w:color w:val="auto"/>
          <w:sz w:val="24"/>
          <w:szCs w:val="24"/>
          <w:highlight w:val="none"/>
        </w:rPr>
        <w:t>项目的潜在供应商应在</w:t>
      </w:r>
      <w:r>
        <w:rPr>
          <w:rFonts w:hint="eastAsia" w:ascii="宋体" w:hAnsi="宋体" w:cs="宋体"/>
          <w:color w:val="auto"/>
          <w:sz w:val="24"/>
          <w:szCs w:val="24"/>
          <w:highlight w:val="none"/>
          <w:u w:val="single"/>
        </w:rPr>
        <w:t>“苏采云”系统平台</w:t>
      </w:r>
      <w:r>
        <w:rPr>
          <w:rFonts w:hint="eastAsia" w:ascii="宋体" w:hAnsi="宋体" w:cs="宋体"/>
          <w:color w:val="auto"/>
          <w:sz w:val="24"/>
          <w:szCs w:val="24"/>
          <w:highlight w:val="none"/>
        </w:rPr>
        <w:t>获取采购文件，并于</w:t>
      </w:r>
      <w:r>
        <w:rPr>
          <w:rFonts w:hint="eastAsia" w:ascii="宋体" w:hAnsi="宋体" w:cs="宋体"/>
          <w:color w:val="auto"/>
          <w:sz w:val="24"/>
          <w:szCs w:val="24"/>
          <w:highlight w:val="none"/>
          <w:u w:val="single"/>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01</w:t>
      </w:r>
      <w:r>
        <w:rPr>
          <w:rFonts w:hint="eastAsia" w:ascii="宋体" w:hAnsi="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09</w:t>
      </w:r>
      <w:r>
        <w:rPr>
          <w:rFonts w:hint="eastAsia" w:ascii="宋体" w:hAnsi="宋体" w:cs="宋体"/>
          <w:color w:val="auto"/>
          <w:sz w:val="24"/>
          <w:szCs w:val="24"/>
          <w:highlight w:val="none"/>
          <w:u w:val="single"/>
        </w:rPr>
        <w:t>日</w:t>
      </w:r>
      <w:r>
        <w:rPr>
          <w:rFonts w:hint="eastAsia" w:ascii="宋体" w:hAnsi="宋体" w:cs="宋体"/>
          <w:color w:val="auto"/>
          <w:sz w:val="24"/>
          <w:szCs w:val="24"/>
          <w:highlight w:val="none"/>
          <w:u w:val="single"/>
          <w:lang w:val="en-US" w:eastAsia="zh-CN"/>
        </w:rPr>
        <w:t>13</w:t>
      </w:r>
      <w:r>
        <w:rPr>
          <w:rFonts w:hint="eastAsia" w:ascii="宋体" w:hAnsi="宋体" w:cs="宋体"/>
          <w:color w:val="auto"/>
          <w:sz w:val="24"/>
          <w:szCs w:val="24"/>
          <w:highlight w:val="none"/>
          <w:u w:val="single"/>
        </w:rPr>
        <w:t>:30</w:t>
      </w:r>
      <w:r>
        <w:rPr>
          <w:rFonts w:hint="eastAsia" w:ascii="宋体" w:hAnsi="宋体" w:cs="宋体"/>
          <w:bCs/>
          <w:color w:val="auto"/>
          <w:sz w:val="24"/>
          <w:szCs w:val="24"/>
          <w:highlight w:val="none"/>
        </w:rPr>
        <w:t>（北京时间）前提交响应文件</w:t>
      </w:r>
      <w:r>
        <w:rPr>
          <w:rFonts w:hint="eastAsia" w:ascii="宋体" w:hAnsi="宋体" w:cs="宋体"/>
          <w:color w:val="auto"/>
          <w:sz w:val="24"/>
          <w:szCs w:val="24"/>
          <w:highlight w:val="none"/>
        </w:rPr>
        <w:t>。</w:t>
      </w:r>
    </w:p>
    <w:p w14:paraId="3F47C7B5">
      <w:pPr>
        <w:spacing w:line="360" w:lineRule="auto"/>
        <w:ind w:firstLine="482"/>
        <w:rPr>
          <w:rFonts w:hint="eastAsia" w:ascii="宋体" w:hAnsi="宋体" w:cs="宋体"/>
          <w:b/>
          <w:color w:val="auto"/>
          <w:sz w:val="24"/>
          <w:szCs w:val="24"/>
          <w:highlight w:val="none"/>
        </w:rPr>
      </w:pPr>
      <w:bookmarkStart w:id="1" w:name="_Toc28359002"/>
      <w:bookmarkStart w:id="2" w:name="_Toc35393790"/>
      <w:bookmarkStart w:id="3" w:name="_Hlk24379207"/>
      <w:bookmarkStart w:id="4" w:name="_Toc28359079"/>
      <w:bookmarkStart w:id="5" w:name="_Toc35393621"/>
      <w:r>
        <w:rPr>
          <w:rFonts w:hint="eastAsia" w:ascii="宋体" w:hAnsi="宋体" w:cs="宋体"/>
          <w:b/>
          <w:color w:val="auto"/>
          <w:sz w:val="24"/>
          <w:szCs w:val="24"/>
          <w:highlight w:val="none"/>
        </w:rPr>
        <w:t>一、项目基本情况</w:t>
      </w:r>
      <w:bookmarkEnd w:id="1"/>
      <w:bookmarkEnd w:id="2"/>
      <w:bookmarkEnd w:id="3"/>
      <w:bookmarkEnd w:id="4"/>
      <w:bookmarkEnd w:id="5"/>
    </w:p>
    <w:p w14:paraId="4BED76B3">
      <w:pPr>
        <w:tabs>
          <w:tab w:val="left" w:pos="7113"/>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JSZC-320505-CJZT-C2025-0015</w:t>
      </w:r>
    </w:p>
    <w:p w14:paraId="0C841915">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苏州浒墅关经济技术开发区社区管理办公室食堂外包项目</w:t>
      </w:r>
    </w:p>
    <w:p w14:paraId="199B9AC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采购方式：竞争性磋商</w:t>
      </w:r>
    </w:p>
    <w:p w14:paraId="32C99E5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258.48</w:t>
      </w:r>
      <w:r>
        <w:rPr>
          <w:rFonts w:hint="eastAsia" w:ascii="宋体" w:hAnsi="宋体" w:cs="宋体"/>
          <w:color w:val="auto"/>
          <w:sz w:val="24"/>
          <w:szCs w:val="24"/>
          <w:highlight w:val="none"/>
        </w:rPr>
        <w:t xml:space="preserve">万元 </w:t>
      </w:r>
    </w:p>
    <w:p w14:paraId="36E0406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最高限价（如有）：</w:t>
      </w:r>
      <w:r>
        <w:rPr>
          <w:rFonts w:hint="eastAsia" w:ascii="宋体" w:hAnsi="宋体" w:cs="宋体"/>
          <w:color w:val="auto"/>
          <w:sz w:val="24"/>
          <w:szCs w:val="24"/>
          <w:highlight w:val="none"/>
          <w:lang w:val="en-US" w:eastAsia="zh-CN"/>
        </w:rPr>
        <w:t>258.48</w:t>
      </w:r>
      <w:r>
        <w:rPr>
          <w:rFonts w:hint="eastAsia" w:ascii="宋体" w:hAnsi="宋体" w:cs="宋体"/>
          <w:color w:val="auto"/>
          <w:sz w:val="24"/>
          <w:szCs w:val="24"/>
          <w:highlight w:val="none"/>
        </w:rPr>
        <w:t xml:space="preserve">万元 </w:t>
      </w:r>
    </w:p>
    <w:p w14:paraId="6CD4BC6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ascii="宋体" w:hAnsi="宋体" w:cs="宋体"/>
          <w:color w:val="auto"/>
          <w:sz w:val="24"/>
          <w:szCs w:val="24"/>
          <w:highlight w:val="none"/>
          <w:lang w:eastAsia="zh-CN"/>
        </w:rPr>
        <w:t>苏州市浒墅关经济技术开发区社区管理办公室食堂外包</w:t>
      </w:r>
    </w:p>
    <w:tbl>
      <w:tblPr>
        <w:tblStyle w:val="38"/>
        <w:tblW w:w="80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53"/>
        <w:gridCol w:w="1938"/>
        <w:gridCol w:w="1199"/>
        <w:gridCol w:w="1692"/>
        <w:gridCol w:w="1281"/>
        <w:gridCol w:w="953"/>
      </w:tblGrid>
      <w:tr w14:paraId="65CF5F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6D81056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noWrap/>
            <w:vAlign w:val="center"/>
          </w:tcPr>
          <w:p w14:paraId="3F979E26">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分项名称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985013A">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天数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FF089BA">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0" w:type="auto"/>
            <w:tcBorders>
              <w:top w:val="single" w:color="auto" w:sz="4" w:space="0"/>
              <w:left w:val="single" w:color="auto" w:sz="4" w:space="0"/>
              <w:bottom w:val="single" w:color="auto" w:sz="4" w:space="0"/>
              <w:right w:val="single" w:color="auto" w:sz="4" w:space="0"/>
            </w:tcBorders>
            <w:noWrap/>
            <w:vAlign w:val="center"/>
          </w:tcPr>
          <w:p w14:paraId="6BC7A6D7">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4A64E09">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45144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506E4570">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0676B38F">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早餐</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1CC127C">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0B9C9EF">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70人/天</w:t>
            </w:r>
          </w:p>
        </w:tc>
        <w:tc>
          <w:tcPr>
            <w:tcW w:w="0" w:type="auto"/>
            <w:tcBorders>
              <w:top w:val="single" w:color="auto" w:sz="4" w:space="0"/>
              <w:left w:val="single" w:color="auto" w:sz="4" w:space="0"/>
              <w:bottom w:val="single" w:color="auto" w:sz="4" w:space="0"/>
              <w:right w:val="single" w:color="auto" w:sz="4" w:space="0"/>
            </w:tcBorders>
            <w:noWrap/>
            <w:vAlign w:val="center"/>
          </w:tcPr>
          <w:p w14:paraId="45CCEB63">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25550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381A109">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r w14:paraId="59C3E9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55AC6707">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06596130">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午餐和晚餐</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A7A50E3">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1AEF900">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319人/天</w:t>
            </w:r>
          </w:p>
        </w:tc>
        <w:tc>
          <w:tcPr>
            <w:tcW w:w="0" w:type="auto"/>
            <w:tcBorders>
              <w:top w:val="single" w:color="auto" w:sz="4" w:space="0"/>
              <w:left w:val="single" w:color="auto" w:sz="4" w:space="0"/>
              <w:bottom w:val="single" w:color="auto" w:sz="4" w:space="0"/>
              <w:right w:val="single" w:color="auto" w:sz="4" w:space="0"/>
            </w:tcBorders>
            <w:noWrap/>
            <w:vAlign w:val="center"/>
          </w:tcPr>
          <w:p w14:paraId="190D634C">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116435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802116F">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bl>
    <w:p w14:paraId="76C17AC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具体详见采购文件。</w:t>
      </w:r>
    </w:p>
    <w:p w14:paraId="6B464FF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合同履行期限：一年（具体进场以采购方书面通知为准）。</w:t>
      </w:r>
    </w:p>
    <w:p w14:paraId="1CC8AEF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本项目不接受联合体。</w:t>
      </w:r>
    </w:p>
    <w:p w14:paraId="0B9291D6">
      <w:pPr>
        <w:spacing w:line="360" w:lineRule="auto"/>
        <w:ind w:firstLine="482"/>
        <w:rPr>
          <w:rFonts w:hint="eastAsia" w:ascii="宋体" w:hAnsi="宋体" w:cs="宋体"/>
          <w:b/>
          <w:color w:val="auto"/>
          <w:sz w:val="24"/>
          <w:szCs w:val="24"/>
          <w:highlight w:val="none"/>
        </w:rPr>
      </w:pPr>
      <w:bookmarkStart w:id="6" w:name="_Toc35393630"/>
      <w:bookmarkStart w:id="7" w:name="_Toc28359013"/>
      <w:bookmarkStart w:id="8" w:name="_Toc28359090"/>
      <w:bookmarkStart w:id="9" w:name="_Toc35393799"/>
      <w:r>
        <w:rPr>
          <w:rFonts w:hint="eastAsia" w:ascii="宋体" w:hAnsi="宋体" w:cs="宋体"/>
          <w:b/>
          <w:color w:val="auto"/>
          <w:sz w:val="24"/>
          <w:szCs w:val="24"/>
          <w:highlight w:val="none"/>
        </w:rPr>
        <w:t>二、申请人的资格要求：</w:t>
      </w:r>
      <w:bookmarkEnd w:id="6"/>
      <w:bookmarkEnd w:id="7"/>
      <w:bookmarkEnd w:id="8"/>
      <w:bookmarkEnd w:id="9"/>
    </w:p>
    <w:p w14:paraId="33E43D5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（一）满足《中华人民共和国政府采购法》第二十二条规定</w:t>
      </w:r>
      <w:bookmarkStart w:id="10" w:name="_Toc28359003"/>
      <w:r>
        <w:rPr>
          <w:rFonts w:hint="eastAsia" w:ascii="宋体" w:hAnsi="宋体" w:cs="宋体"/>
          <w:color w:val="auto"/>
          <w:sz w:val="24"/>
          <w:szCs w:val="24"/>
          <w:highlight w:val="none"/>
        </w:rPr>
        <w:t>：</w:t>
      </w:r>
    </w:p>
    <w:p w14:paraId="7D477F8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w:t>
      </w:r>
    </w:p>
    <w:p w14:paraId="3889CE1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p>
    <w:p w14:paraId="49503B1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p>
    <w:p w14:paraId="32087A2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4、有依法缴纳税收和社会保障资金的良好记录；</w:t>
      </w:r>
    </w:p>
    <w:p w14:paraId="402A2E85">
      <w:pPr>
        <w:tabs>
          <w:tab w:val="left" w:pos="8773"/>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5、参加政府采购活动前三年内，在经营活动中没有重大违法记录；</w:t>
      </w:r>
    </w:p>
    <w:p w14:paraId="05F6168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6、法律、行政法规规定的其他条件；</w:t>
      </w:r>
      <w:bookmarkEnd w:id="10"/>
      <w:bookmarkStart w:id="11" w:name="_Toc28359014"/>
      <w:bookmarkStart w:id="12" w:name="_Toc28359091"/>
    </w:p>
    <w:p w14:paraId="2C9AB5CA">
      <w:pPr>
        <w:spacing w:line="360" w:lineRule="auto"/>
        <w:ind w:firstLine="480"/>
        <w:rPr>
          <w:rFonts w:hint="eastAsia" w:ascii="宋体" w:hAnsi="宋体" w:cs="宋体"/>
          <w:color w:val="auto"/>
          <w:sz w:val="24"/>
          <w:szCs w:val="24"/>
          <w:highlight w:val="none"/>
          <w:u w:val="single"/>
        </w:rPr>
      </w:pPr>
      <w:bookmarkStart w:id="13" w:name="_Toc35393800"/>
      <w:bookmarkStart w:id="14" w:name="_Toc35393631"/>
      <w:r>
        <w:rPr>
          <w:rFonts w:hint="eastAsia" w:ascii="宋体" w:hAnsi="宋体" w:cs="宋体"/>
          <w:color w:val="auto"/>
          <w:sz w:val="24"/>
          <w:szCs w:val="24"/>
          <w:highlight w:val="none"/>
        </w:rPr>
        <w:t>（二）落实政府采购政策需满足的资格要求：根据《政府采购促进中小企业发展管理办法》的相关规定，本项目专门面向中小企业采购，所属行业为餐饮业。供应商应提供《中小企业声明函》或《残疾人福利性单位声明函》或省级以上监狱管理局、戒毒管理局（含新疆生产建设兵团）出具的属于监狱企业的证明文件。</w:t>
      </w:r>
    </w:p>
    <w:p w14:paraId="1FB027D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（三）本项目的特定资格要求：</w:t>
      </w:r>
    </w:p>
    <w:p w14:paraId="5EEF21BF">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1、未被“信用中国”网站（www.creditchina.gov.cn）列入失信被执行人、重大税收违法案件当事人名单、政府采购严重失信行为记录名单。</w:t>
      </w:r>
    </w:p>
    <w:p w14:paraId="2DC7E272">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具有有效期内的</w:t>
      </w:r>
      <w:r>
        <w:rPr>
          <w:rFonts w:hint="eastAsia" w:ascii="宋体" w:hAnsi="宋体" w:cs="宋体"/>
          <w:bCs/>
          <w:color w:val="auto"/>
          <w:sz w:val="24"/>
          <w:szCs w:val="24"/>
          <w:highlight w:val="none"/>
          <w:lang w:eastAsia="zh-CN"/>
        </w:rPr>
        <w:t>《食品经营许可证》或《食品生产许可证》。</w:t>
      </w:r>
    </w:p>
    <w:p w14:paraId="53F1015D">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三、获取采购文件</w:t>
      </w:r>
    </w:p>
    <w:p w14:paraId="16E55943">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（一）获取时间：自本公告发布之日起至202</w:t>
      </w:r>
      <w:r>
        <w:rPr>
          <w:rFonts w:hint="eastAsia" w:ascii="宋体" w:hAnsi="宋体" w:cs="宋体"/>
          <w:color w:val="auto"/>
          <w:kern w:val="0"/>
          <w:sz w:val="24"/>
          <w:szCs w:val="24"/>
          <w:highlight w:val="none"/>
          <w:lang w:val="en-US" w:eastAsia="zh-CN" w:bidi="ar"/>
        </w:rPr>
        <w:t>6</w:t>
      </w:r>
      <w:r>
        <w:rPr>
          <w:rFonts w:hint="eastAsia" w:ascii="宋体" w:hAnsi="宋体" w:cs="宋体"/>
          <w:color w:val="auto"/>
          <w:kern w:val="0"/>
          <w:sz w:val="24"/>
          <w:szCs w:val="24"/>
          <w:highlight w:val="none"/>
          <w:lang w:bidi="ar"/>
        </w:rPr>
        <w:t>年</w:t>
      </w:r>
      <w:r>
        <w:rPr>
          <w:rFonts w:hint="eastAsia" w:ascii="宋体" w:hAnsi="宋体" w:cs="宋体"/>
          <w:color w:val="auto"/>
          <w:kern w:val="0"/>
          <w:sz w:val="24"/>
          <w:szCs w:val="24"/>
          <w:highlight w:val="none"/>
          <w:lang w:val="en-US" w:eastAsia="zh-CN" w:bidi="ar"/>
        </w:rPr>
        <w:t>01</w:t>
      </w:r>
      <w:r>
        <w:rPr>
          <w:rFonts w:hint="eastAsia" w:ascii="宋体" w:hAnsi="宋体" w:cs="宋体"/>
          <w:color w:val="auto"/>
          <w:kern w:val="0"/>
          <w:sz w:val="24"/>
          <w:szCs w:val="24"/>
          <w:highlight w:val="none"/>
          <w:lang w:bidi="ar"/>
        </w:rPr>
        <w:t>月</w:t>
      </w:r>
      <w:r>
        <w:rPr>
          <w:rFonts w:hint="eastAsia" w:ascii="宋体" w:hAnsi="宋体" w:cs="宋体"/>
          <w:color w:val="auto"/>
          <w:kern w:val="0"/>
          <w:sz w:val="24"/>
          <w:szCs w:val="24"/>
          <w:highlight w:val="none"/>
          <w:lang w:val="en-US" w:eastAsia="zh-CN" w:bidi="ar"/>
        </w:rPr>
        <w:t>04</w:t>
      </w:r>
      <w:r>
        <w:rPr>
          <w:rFonts w:hint="eastAsia" w:ascii="宋体" w:hAnsi="宋体" w:cs="宋体"/>
          <w:color w:val="auto"/>
          <w:kern w:val="0"/>
          <w:sz w:val="24"/>
          <w:szCs w:val="24"/>
          <w:highlight w:val="none"/>
          <w:lang w:bidi="ar"/>
        </w:rPr>
        <w:t>日</w:t>
      </w:r>
    </w:p>
    <w:p w14:paraId="2E540DFA">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（二）获取方式：网上报名</w:t>
      </w:r>
    </w:p>
    <w:p w14:paraId="531FB44D">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1.申领CA证书</w:t>
      </w:r>
    </w:p>
    <w:p w14:paraId="39586F67">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供应商进入“江苏省政府采购”官网首页―“苏采云”―进入“苏采云政府采购一体化平台”―点击“新CA办理指南”。详见《江苏省政府采购数字证书（供应商）数字证书CA及电子签章办理指南》。</w:t>
      </w:r>
    </w:p>
    <w:p w14:paraId="07EBB1D2">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2.登录报名</w:t>
      </w:r>
    </w:p>
    <w:p w14:paraId="30BF829A">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p>
    <w:p w14:paraId="35323A3A">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3.在网上报名过程中如有疑问，请及时联系：</w:t>
      </w:r>
    </w:p>
    <w:p w14:paraId="6BA92BD7">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CA技术咨询服务电话：400-608-6099；</w:t>
      </w:r>
    </w:p>
    <w:p w14:paraId="2F6A9628">
      <w:pPr>
        <w:spacing w:line="360" w:lineRule="auto"/>
        <w:ind w:firstLine="480"/>
        <w:jc w:val="left"/>
        <w:outlineLvl w:val="2"/>
        <w:rPr>
          <w:rFonts w:hint="default"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电子签章技术咨询服务电话：15380932027 15371015030 13675197356 13675197221；</w:t>
      </w:r>
    </w:p>
    <w:p w14:paraId="275AF648">
      <w:pPr>
        <w:spacing w:line="360" w:lineRule="auto"/>
        <w:ind w:firstLine="480"/>
        <w:jc w:val="left"/>
        <w:outlineLvl w:val="2"/>
        <w:rPr>
          <w:rFonts w:hint="default"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系统使用指导与咨询：联系电话：13914088964；18261002950（不见面项目）QQ：3048755361、895706745。</w:t>
      </w:r>
    </w:p>
    <w:p w14:paraId="44496F50">
      <w:pPr>
        <w:spacing w:line="360" w:lineRule="auto"/>
        <w:ind w:firstLine="480"/>
        <w:jc w:val="left"/>
        <w:outlineLvl w:val="2"/>
        <w:rPr>
          <w:rFonts w:hint="default" w:ascii="宋体" w:hAnsi="宋体" w:cs="宋体"/>
          <w:color w:val="auto"/>
          <w:kern w:val="0"/>
          <w:sz w:val="24"/>
          <w:szCs w:val="24"/>
          <w:highlight w:val="none"/>
          <w:lang w:bidi="ar"/>
        </w:rPr>
      </w:pPr>
      <w:r>
        <w:rPr>
          <w:rFonts w:hint="eastAsia" w:ascii="宋体" w:hAnsi="宋体" w:cs="宋体"/>
          <w:color w:val="auto"/>
          <w:kern w:val="0"/>
          <w:sz w:val="24"/>
          <w:szCs w:val="24"/>
          <w:highlight w:val="none"/>
          <w:lang w:bidi="ar"/>
        </w:rPr>
        <w:t>4.参与采购活动</w:t>
      </w:r>
    </w:p>
    <w:p w14:paraId="0586C503">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供应商插入CA证书登录“苏采云”系统后选择具体项目，点击“我要参与”并签章提交《投标供应商确认函》，提交《投</w:t>
      </w:r>
      <w:r>
        <w:rPr>
          <w:rFonts w:hint="eastAsia" w:ascii="宋体" w:hAnsi="宋体" w:cs="宋体"/>
          <w:color w:val="auto"/>
          <w:kern w:val="0"/>
          <w:sz w:val="24"/>
          <w:szCs w:val="24"/>
          <w:highlight w:val="none"/>
          <w:lang w:bidi="ar"/>
        </w:rPr>
        <w:t>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708DCF4E">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5.售价：无。</w:t>
      </w:r>
    </w:p>
    <w:p w14:paraId="7663DB98">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6.本项目采用网上投标电子评标方式。</w:t>
      </w:r>
    </w:p>
    <w:bookmarkEnd w:id="11"/>
    <w:bookmarkEnd w:id="12"/>
    <w:bookmarkEnd w:id="13"/>
    <w:bookmarkEnd w:id="14"/>
    <w:p w14:paraId="089BAAE6">
      <w:pPr>
        <w:spacing w:line="360" w:lineRule="auto"/>
        <w:ind w:firstLine="480"/>
        <w:jc w:val="left"/>
        <w:outlineLvl w:val="2"/>
        <w:rPr>
          <w:rFonts w:hint="default" w:ascii="宋体" w:hAnsi="宋体" w:cs="宋体"/>
          <w:b/>
          <w:bCs/>
          <w:color w:val="auto"/>
          <w:kern w:val="2"/>
          <w:sz w:val="24"/>
          <w:szCs w:val="24"/>
          <w:highlight w:val="none"/>
        </w:rPr>
      </w:pPr>
      <w:bookmarkStart w:id="15" w:name="_Toc28359095"/>
      <w:bookmarkStart w:id="16" w:name="_Toc35393805"/>
      <w:bookmarkStart w:id="17" w:name="_Toc28359018"/>
      <w:bookmarkStart w:id="18" w:name="_Toc35393636"/>
      <w:r>
        <w:rPr>
          <w:rFonts w:hint="eastAsia" w:ascii="宋体" w:hAnsi="宋体" w:cs="宋体"/>
          <w:b/>
          <w:bCs/>
          <w:color w:val="auto"/>
          <w:kern w:val="0"/>
          <w:sz w:val="24"/>
          <w:szCs w:val="24"/>
          <w:highlight w:val="none"/>
          <w:lang w:bidi="ar"/>
        </w:rPr>
        <w:t>四、响应文件提交</w:t>
      </w:r>
    </w:p>
    <w:p w14:paraId="5D0293B1">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（一）网上响应文件接收截止时间：202</w:t>
      </w:r>
      <w:r>
        <w:rPr>
          <w:rFonts w:hint="eastAsia" w:ascii="宋体" w:hAnsi="宋体" w:cs="宋体"/>
          <w:color w:val="auto"/>
          <w:kern w:val="0"/>
          <w:sz w:val="24"/>
          <w:szCs w:val="24"/>
          <w:highlight w:val="none"/>
          <w:lang w:val="en-US" w:eastAsia="zh-CN" w:bidi="ar"/>
        </w:rPr>
        <w:t>6</w:t>
      </w:r>
      <w:r>
        <w:rPr>
          <w:rFonts w:hint="eastAsia" w:ascii="宋体" w:hAnsi="宋体" w:cs="宋体"/>
          <w:color w:val="auto"/>
          <w:kern w:val="0"/>
          <w:sz w:val="24"/>
          <w:szCs w:val="24"/>
          <w:highlight w:val="none"/>
          <w:lang w:bidi="ar"/>
        </w:rPr>
        <w:t>年</w:t>
      </w:r>
      <w:r>
        <w:rPr>
          <w:rFonts w:hint="eastAsia" w:ascii="宋体" w:hAnsi="宋体" w:cs="宋体"/>
          <w:color w:val="auto"/>
          <w:kern w:val="0"/>
          <w:sz w:val="24"/>
          <w:szCs w:val="24"/>
          <w:highlight w:val="none"/>
          <w:lang w:val="en-US" w:eastAsia="zh-CN" w:bidi="ar"/>
        </w:rPr>
        <w:t>01</w:t>
      </w:r>
      <w:r>
        <w:rPr>
          <w:rFonts w:hint="eastAsia" w:ascii="宋体" w:hAnsi="宋体" w:cs="宋体"/>
          <w:color w:val="auto"/>
          <w:kern w:val="0"/>
          <w:sz w:val="24"/>
          <w:szCs w:val="24"/>
          <w:highlight w:val="none"/>
          <w:lang w:bidi="ar"/>
        </w:rPr>
        <w:t xml:space="preserve">月 </w:t>
      </w:r>
      <w:r>
        <w:rPr>
          <w:rFonts w:hint="eastAsia" w:ascii="宋体" w:hAnsi="宋体" w:cs="宋体"/>
          <w:color w:val="auto"/>
          <w:kern w:val="0"/>
          <w:sz w:val="24"/>
          <w:szCs w:val="24"/>
          <w:highlight w:val="none"/>
          <w:lang w:val="en-US" w:eastAsia="zh-CN" w:bidi="ar"/>
        </w:rPr>
        <w:t>09</w:t>
      </w:r>
      <w:r>
        <w:rPr>
          <w:rFonts w:hint="eastAsia" w:ascii="宋体" w:hAnsi="宋体" w:cs="宋体"/>
          <w:color w:val="auto"/>
          <w:kern w:val="0"/>
          <w:sz w:val="24"/>
          <w:szCs w:val="24"/>
          <w:highlight w:val="none"/>
          <w:lang w:bidi="ar"/>
        </w:rPr>
        <w:t>日</w:t>
      </w:r>
      <w:r>
        <w:rPr>
          <w:rFonts w:hint="eastAsia" w:ascii="宋体" w:hAnsi="宋体" w:cs="宋体"/>
          <w:color w:val="auto"/>
          <w:kern w:val="0"/>
          <w:sz w:val="24"/>
          <w:szCs w:val="24"/>
          <w:highlight w:val="none"/>
          <w:lang w:bidi="ar"/>
        </w:rPr>
        <w:t>13:30（北京时间）</w:t>
      </w:r>
    </w:p>
    <w:p w14:paraId="298FE4EE">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二）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9AD73BD">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（三）线上参加开标（开启）会方式：供应商登录“苏采云”系统在平台首页点击“开标大厅”，进入江苏省政府采购一体化不见面开标（采购）大厅，在今日项目列表，点击项目，进入不见面开标系统。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kern w:val="0"/>
          <w:sz w:val="24"/>
          <w:szCs w:val="24"/>
          <w:highlight w:val="none"/>
          <w:lang w:bidi="ar"/>
        </w:rPr>
        <w:t>本项目为不见面开标项目，开标阶段供应商在【供应商解密】环节必须使用CA证书解密电子投标文件，如在系</w:t>
      </w:r>
      <w:bookmarkStart w:id="42" w:name="_GoBack"/>
      <w:bookmarkEnd w:id="42"/>
      <w:r>
        <w:rPr>
          <w:rFonts w:hint="eastAsia" w:ascii="宋体" w:hAnsi="宋体" w:cs="宋体"/>
          <w:b/>
          <w:bCs/>
          <w:color w:val="auto"/>
          <w:kern w:val="0"/>
          <w:sz w:val="24"/>
          <w:szCs w:val="24"/>
          <w:highlight w:val="none"/>
          <w:lang w:bidi="ar"/>
        </w:rPr>
        <w:t>统规定的解密时间内未能完成解密的视为放弃投标。</w:t>
      </w:r>
    </w:p>
    <w:p w14:paraId="2454DC67">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（四）请供应商确保电脑、系统及其他设备（视频输入输出设备等）无误，且开标直至项目结束始终保持系统在线状态。</w:t>
      </w:r>
    </w:p>
    <w:p w14:paraId="28F14F2A">
      <w:pPr>
        <w:spacing w:line="360" w:lineRule="auto"/>
        <w:ind w:firstLine="482"/>
        <w:rPr>
          <w:rFonts w:hint="default" w:ascii="宋体" w:hAnsi="宋体" w:cs="宋体"/>
          <w:b/>
          <w:color w:val="auto"/>
          <w:kern w:val="2"/>
          <w:sz w:val="24"/>
          <w:szCs w:val="24"/>
          <w:highlight w:val="none"/>
        </w:rPr>
      </w:pPr>
      <w:r>
        <w:rPr>
          <w:rFonts w:hint="eastAsia" w:ascii="宋体" w:hAnsi="宋体" w:cs="宋体"/>
          <w:b/>
          <w:color w:val="auto"/>
          <w:kern w:val="0"/>
          <w:sz w:val="24"/>
          <w:szCs w:val="24"/>
          <w:highlight w:val="none"/>
          <w:lang w:bidi="ar"/>
        </w:rPr>
        <w:t>五、开标有关信息</w:t>
      </w:r>
    </w:p>
    <w:p w14:paraId="2380E0EB">
      <w:pPr>
        <w:spacing w:line="360" w:lineRule="auto"/>
        <w:ind w:firstLine="495"/>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（一）开标时间：202</w:t>
      </w:r>
      <w:r>
        <w:rPr>
          <w:rFonts w:hint="eastAsia" w:ascii="宋体" w:hAnsi="宋体" w:cs="宋体"/>
          <w:color w:val="auto"/>
          <w:kern w:val="0"/>
          <w:sz w:val="24"/>
          <w:szCs w:val="24"/>
          <w:highlight w:val="none"/>
          <w:lang w:val="en-US" w:eastAsia="zh-CN" w:bidi="ar"/>
        </w:rPr>
        <w:t>6</w:t>
      </w:r>
      <w:r>
        <w:rPr>
          <w:rFonts w:hint="eastAsia" w:ascii="宋体" w:hAnsi="宋体" w:cs="宋体"/>
          <w:color w:val="auto"/>
          <w:kern w:val="0"/>
          <w:sz w:val="24"/>
          <w:szCs w:val="24"/>
          <w:highlight w:val="none"/>
          <w:lang w:bidi="ar"/>
        </w:rPr>
        <w:t>年</w:t>
      </w:r>
      <w:r>
        <w:rPr>
          <w:rFonts w:hint="eastAsia" w:ascii="宋体" w:hAnsi="宋体" w:cs="宋体"/>
          <w:color w:val="auto"/>
          <w:kern w:val="0"/>
          <w:sz w:val="24"/>
          <w:szCs w:val="24"/>
          <w:highlight w:val="none"/>
          <w:lang w:val="en-US" w:eastAsia="zh-CN" w:bidi="ar"/>
        </w:rPr>
        <w:t>01</w:t>
      </w:r>
      <w:r>
        <w:rPr>
          <w:rFonts w:hint="eastAsia" w:ascii="宋体" w:hAnsi="宋体" w:cs="宋体"/>
          <w:color w:val="auto"/>
          <w:kern w:val="0"/>
          <w:sz w:val="24"/>
          <w:szCs w:val="24"/>
          <w:highlight w:val="none"/>
          <w:lang w:bidi="ar"/>
        </w:rPr>
        <w:t xml:space="preserve">月 </w:t>
      </w:r>
      <w:r>
        <w:rPr>
          <w:rFonts w:hint="eastAsia" w:ascii="宋体" w:hAnsi="宋体" w:cs="宋体"/>
          <w:color w:val="auto"/>
          <w:kern w:val="0"/>
          <w:sz w:val="24"/>
          <w:szCs w:val="24"/>
          <w:highlight w:val="none"/>
          <w:lang w:val="en-US" w:eastAsia="zh-CN" w:bidi="ar"/>
        </w:rPr>
        <w:t>09</w:t>
      </w:r>
      <w:r>
        <w:rPr>
          <w:rFonts w:hint="eastAsia" w:ascii="宋体" w:hAnsi="宋体" w:cs="宋体"/>
          <w:color w:val="auto"/>
          <w:kern w:val="0"/>
          <w:sz w:val="24"/>
          <w:szCs w:val="24"/>
          <w:highlight w:val="none"/>
          <w:lang w:bidi="ar"/>
        </w:rPr>
        <w:t>日</w:t>
      </w:r>
      <w:r>
        <w:rPr>
          <w:rFonts w:hint="eastAsia" w:ascii="宋体" w:hAnsi="宋体" w:cs="宋体"/>
          <w:bCs/>
          <w:color w:val="auto"/>
          <w:kern w:val="0"/>
          <w:sz w:val="24"/>
          <w:szCs w:val="24"/>
          <w:highlight w:val="none"/>
          <w:lang w:bidi="ar"/>
        </w:rPr>
        <w:t>13:</w:t>
      </w:r>
      <w:r>
        <w:rPr>
          <w:rFonts w:hint="eastAsia" w:ascii="宋体" w:hAnsi="宋体" w:cs="宋体"/>
          <w:color w:val="auto"/>
          <w:kern w:val="0"/>
          <w:sz w:val="24"/>
          <w:szCs w:val="24"/>
          <w:highlight w:val="none"/>
          <w:lang w:bidi="ar"/>
        </w:rPr>
        <w:t>30（北京时间）</w:t>
      </w:r>
    </w:p>
    <w:p w14:paraId="69150487">
      <w:pPr>
        <w:spacing w:line="360" w:lineRule="auto"/>
        <w:ind w:firstLine="495"/>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（二）开标地点：</w:t>
      </w:r>
      <w:r>
        <w:rPr>
          <w:rFonts w:hint="eastAsia" w:ascii="宋体" w:hAnsi="宋体" w:cs="宋体"/>
          <w:color w:val="auto"/>
          <w:kern w:val="0"/>
          <w:sz w:val="24"/>
          <w:szCs w:val="24"/>
          <w:highlight w:val="none"/>
          <w:shd w:val="clear" w:color="auto" w:fill="FFFFFF"/>
          <w:lang w:bidi="ar"/>
        </w:rPr>
        <w:t>苏采云政府采购一体化平台开标大厅（网上不见面开标）</w:t>
      </w:r>
    </w:p>
    <w:p w14:paraId="2DFDFF6A">
      <w:pPr>
        <w:spacing w:line="360" w:lineRule="auto"/>
        <w:ind w:firstLine="480"/>
        <w:jc w:val="left"/>
        <w:outlineLvl w:val="2"/>
        <w:rPr>
          <w:rFonts w:hint="default" w:ascii="宋体" w:hAnsi="宋体" w:cs="宋体"/>
          <w:b/>
          <w:bCs/>
          <w:color w:val="auto"/>
          <w:kern w:val="2"/>
          <w:sz w:val="24"/>
          <w:szCs w:val="24"/>
          <w:highlight w:val="none"/>
        </w:rPr>
      </w:pPr>
      <w:r>
        <w:rPr>
          <w:rFonts w:hint="eastAsia" w:ascii="宋体" w:hAnsi="宋体" w:cs="宋体"/>
          <w:b/>
          <w:bCs/>
          <w:color w:val="auto"/>
          <w:kern w:val="0"/>
          <w:sz w:val="24"/>
          <w:szCs w:val="24"/>
          <w:highlight w:val="none"/>
          <w:lang w:bidi="ar"/>
        </w:rPr>
        <w:t>六、公告期限</w:t>
      </w:r>
    </w:p>
    <w:p w14:paraId="56683DAC">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自本公告发布之日起3个工作日。</w:t>
      </w:r>
    </w:p>
    <w:p w14:paraId="40F3D2E1">
      <w:pPr>
        <w:spacing w:line="360" w:lineRule="auto"/>
        <w:ind w:firstLine="480"/>
        <w:jc w:val="left"/>
        <w:outlineLvl w:val="2"/>
        <w:rPr>
          <w:rFonts w:hint="default" w:ascii="宋体" w:hAnsi="宋体" w:cs="宋体"/>
          <w:b/>
          <w:bCs/>
          <w:color w:val="auto"/>
          <w:kern w:val="2"/>
          <w:sz w:val="24"/>
          <w:szCs w:val="24"/>
          <w:highlight w:val="none"/>
        </w:rPr>
      </w:pPr>
      <w:r>
        <w:rPr>
          <w:rFonts w:hint="eastAsia" w:ascii="宋体" w:hAnsi="宋体" w:cs="宋体"/>
          <w:b/>
          <w:bCs/>
          <w:color w:val="auto"/>
          <w:kern w:val="0"/>
          <w:sz w:val="24"/>
          <w:szCs w:val="24"/>
          <w:highlight w:val="none"/>
          <w:lang w:bidi="ar"/>
        </w:rPr>
        <w:t>七、其他补充事宜</w:t>
      </w:r>
    </w:p>
    <w:p w14:paraId="2BC08E3E">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（一）有关本项目电子投标具体操作方法详见苏采云系统中的客户端使用说明和供应商《操作手册》。</w:t>
      </w:r>
    </w:p>
    <w:p w14:paraId="1924C772">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（二）本次采购的有关信息将在江苏省政府采购网、苏州政府采购网</w:t>
      </w:r>
      <w:r>
        <w:rPr>
          <w:rFonts w:hint="default"/>
          <w:color w:val="auto"/>
          <w:kern w:val="2"/>
          <w:szCs w:val="24"/>
          <w:highlight w:val="none"/>
        </w:rPr>
        <w:fldChar w:fldCharType="begin"/>
      </w:r>
      <w:r>
        <w:rPr>
          <w:rFonts w:hint="default"/>
          <w:color w:val="auto"/>
          <w:kern w:val="2"/>
          <w:szCs w:val="24"/>
          <w:highlight w:val="none"/>
        </w:rPr>
        <w:instrText xml:space="preserve"> HYPERLINK "Http://www.szweikang.com、《中国财经报》、《城市商报》上发布" </w:instrText>
      </w:r>
      <w:r>
        <w:rPr>
          <w:rFonts w:hint="default"/>
          <w:color w:val="auto"/>
          <w:kern w:val="2"/>
          <w:szCs w:val="24"/>
          <w:highlight w:val="none"/>
        </w:rPr>
        <w:fldChar w:fldCharType="separate"/>
      </w:r>
      <w:r>
        <w:rPr>
          <w:rFonts w:hint="default"/>
          <w:color w:val="auto"/>
          <w:kern w:val="2"/>
          <w:szCs w:val="24"/>
          <w:highlight w:val="none"/>
        </w:rPr>
        <w:fldChar w:fldCharType="begin"/>
      </w:r>
      <w:r>
        <w:rPr>
          <w:rFonts w:hint="default"/>
          <w:color w:val="auto"/>
          <w:kern w:val="2"/>
          <w:szCs w:val="24"/>
          <w:highlight w:val="none"/>
        </w:rPr>
        <w:instrText xml:space="preserve"> HYPERLINK "Http://www.szweikang.com、《中国财经报》、《城市商报》上发布" </w:instrText>
      </w:r>
      <w:r>
        <w:rPr>
          <w:rFonts w:hint="default"/>
          <w:color w:val="auto"/>
          <w:kern w:val="2"/>
          <w:szCs w:val="24"/>
          <w:highlight w:val="none"/>
        </w:rPr>
        <w:fldChar w:fldCharType="separate"/>
      </w:r>
      <w:r>
        <w:rPr>
          <w:rFonts w:hint="eastAsia" w:ascii="宋体" w:hAnsi="宋体" w:cs="宋体"/>
          <w:color w:val="auto"/>
          <w:kern w:val="2"/>
          <w:sz w:val="24"/>
          <w:szCs w:val="24"/>
          <w:highlight w:val="none"/>
          <w:u w:val="none"/>
        </w:rPr>
        <w:t>上发布</w:t>
      </w:r>
      <w:r>
        <w:rPr>
          <w:rFonts w:hint="eastAsia" w:ascii="宋体" w:hAnsi="宋体" w:cs="宋体"/>
          <w:color w:val="auto"/>
          <w:kern w:val="2"/>
          <w:sz w:val="24"/>
          <w:szCs w:val="24"/>
          <w:highlight w:val="none"/>
          <w:u w:val="none"/>
        </w:rPr>
        <w:fldChar w:fldCharType="end"/>
      </w:r>
      <w:r>
        <w:rPr>
          <w:rFonts w:hint="default"/>
          <w:color w:val="auto"/>
          <w:kern w:val="2"/>
          <w:szCs w:val="24"/>
          <w:highlight w:val="none"/>
        </w:rPr>
        <w:fldChar w:fldCharType="end"/>
      </w:r>
      <w:r>
        <w:rPr>
          <w:rFonts w:hint="eastAsia" w:ascii="宋体" w:hAnsi="宋体" w:cs="宋体"/>
          <w:color w:val="auto"/>
          <w:kern w:val="0"/>
          <w:sz w:val="24"/>
          <w:szCs w:val="24"/>
          <w:highlight w:val="none"/>
          <w:lang w:bidi="ar"/>
        </w:rPr>
        <w:t>，敬请留意。</w:t>
      </w:r>
    </w:p>
    <w:p w14:paraId="177F7330">
      <w:pPr>
        <w:spacing w:line="360" w:lineRule="auto"/>
        <w:ind w:firstLine="480"/>
        <w:jc w:val="left"/>
        <w:outlineLvl w:val="2"/>
        <w:rPr>
          <w:rFonts w:hint="default" w:ascii="宋体" w:hAnsi="宋体" w:cs="宋体"/>
          <w:color w:val="auto"/>
          <w:kern w:val="2"/>
          <w:sz w:val="24"/>
          <w:szCs w:val="24"/>
          <w:highlight w:val="none"/>
        </w:rPr>
      </w:pPr>
      <w:r>
        <w:rPr>
          <w:rFonts w:hint="eastAsia" w:ascii="宋体" w:hAnsi="宋体" w:cs="宋体"/>
          <w:color w:val="auto"/>
          <w:kern w:val="0"/>
          <w:sz w:val="24"/>
          <w:szCs w:val="24"/>
          <w:highlight w:val="none"/>
          <w:lang w:bidi="ar"/>
        </w:rPr>
        <w:t>（三）苏州市高新区政府采购管理监督电话：0512-68751335。</w:t>
      </w:r>
    </w:p>
    <w:p w14:paraId="2AC1402D">
      <w:pPr>
        <w:spacing w:line="360" w:lineRule="auto"/>
        <w:ind w:firstLine="480"/>
        <w:jc w:val="left"/>
        <w:outlineLvl w:val="2"/>
        <w:rPr>
          <w:rFonts w:hint="default" w:ascii="宋体" w:hAnsi="宋体" w:cs="宋体"/>
          <w:color w:val="auto"/>
          <w:kern w:val="0"/>
          <w:sz w:val="24"/>
          <w:szCs w:val="24"/>
          <w:highlight w:val="none"/>
          <w:lang w:bidi="ar"/>
        </w:rPr>
      </w:pPr>
      <w:r>
        <w:rPr>
          <w:rFonts w:hint="eastAsia" w:ascii="宋体" w:hAnsi="宋体" w:cs="宋体"/>
          <w:bCs/>
          <w:color w:val="auto"/>
          <w:kern w:val="0"/>
          <w:sz w:val="24"/>
          <w:szCs w:val="24"/>
          <w:highlight w:val="none"/>
          <w:lang w:bidi="ar"/>
        </w:rPr>
        <w:t>（四）本项目获取招标文件截止日期之后仍可以下载招标文件，但截止日期之后下载的招标文件，视为非有效方式且不作为供应商权益受到损害的证明材料和依据。</w:t>
      </w:r>
      <w:r>
        <w:rPr>
          <w:rFonts w:hint="eastAsia" w:ascii="宋体" w:hAnsi="宋体" w:cs="宋体"/>
          <w:color w:val="auto"/>
          <w:kern w:val="0"/>
          <w:sz w:val="24"/>
          <w:szCs w:val="24"/>
          <w:highlight w:val="none"/>
          <w:lang w:bidi="ar"/>
        </w:rPr>
        <w:t xml:space="preserve"> </w:t>
      </w:r>
    </w:p>
    <w:p w14:paraId="73395782">
      <w:pPr>
        <w:spacing w:line="360" w:lineRule="auto"/>
        <w:ind w:firstLine="480"/>
        <w:jc w:val="left"/>
        <w:outlineLvl w:val="2"/>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bidi="ar"/>
        </w:rPr>
        <w:t>（五）根据苏州市财政局《关于深入开展苏州市政府采购合同信用融资业务的通知》相关要求，本项目支持政府采购合同信用融资。</w:t>
      </w:r>
    </w:p>
    <w:p w14:paraId="68A7B1D3">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八、凡对本次采购提出询问，请按以下方式联系。</w:t>
      </w:r>
      <w:bookmarkEnd w:id="15"/>
      <w:bookmarkEnd w:id="16"/>
      <w:bookmarkEnd w:id="17"/>
      <w:bookmarkEnd w:id="18"/>
    </w:p>
    <w:p w14:paraId="05526B51">
      <w:pPr>
        <w:spacing w:line="360" w:lineRule="auto"/>
        <w:ind w:firstLine="480"/>
        <w:rPr>
          <w:rFonts w:hint="eastAsia" w:ascii="宋体" w:hAnsi="宋体" w:cs="宋体"/>
          <w:color w:val="auto"/>
          <w:sz w:val="24"/>
          <w:szCs w:val="24"/>
          <w:highlight w:val="none"/>
        </w:rPr>
      </w:pPr>
      <w:bookmarkStart w:id="19" w:name="_Toc35393637"/>
      <w:bookmarkStart w:id="20" w:name="_Toc28359019"/>
      <w:bookmarkStart w:id="21" w:name="_Toc35393806"/>
      <w:bookmarkStart w:id="22" w:name="_Toc28359096"/>
      <w:r>
        <w:rPr>
          <w:rFonts w:hint="eastAsia" w:ascii="宋体" w:hAnsi="宋体" w:cs="宋体"/>
          <w:color w:val="auto"/>
          <w:sz w:val="24"/>
          <w:szCs w:val="24"/>
          <w:highlight w:val="none"/>
        </w:rPr>
        <w:t>1.采购人信息</w:t>
      </w:r>
      <w:bookmarkEnd w:id="19"/>
      <w:bookmarkEnd w:id="20"/>
      <w:bookmarkEnd w:id="21"/>
      <w:bookmarkEnd w:id="22"/>
    </w:p>
    <w:p w14:paraId="3CD46B8B">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苏州市浒墅关经济技术开发区社区管理办公室</w:t>
      </w:r>
    </w:p>
    <w:p w14:paraId="4C0A1B0C">
      <w:pPr>
        <w:spacing w:line="360" w:lineRule="auto"/>
        <w:ind w:firstLine="480"/>
        <w:rPr>
          <w:rFonts w:hint="default" w:ascii="宋体" w:hAnsi="宋体" w:eastAsia="宋体" w:cs="宋体"/>
          <w:color w:val="auto"/>
          <w:sz w:val="24"/>
          <w:szCs w:val="24"/>
          <w:highlight w:val="none"/>
          <w:lang w:val="en-US" w:eastAsia="zh-CN"/>
        </w:rPr>
      </w:pPr>
      <w:bookmarkStart w:id="23" w:name="_Toc35393638"/>
      <w:bookmarkStart w:id="24" w:name="_Toc28359097"/>
      <w:bookmarkStart w:id="25" w:name="_Toc35393807"/>
      <w:bookmarkStart w:id="26" w:name="_Toc28359020"/>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苏州市浒墅关经济技术开发区建林路777号</w:t>
      </w:r>
    </w:p>
    <w:p w14:paraId="43992623">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 系 人：凌枫</w:t>
      </w:r>
    </w:p>
    <w:p w14:paraId="78BA7ABD">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联系方式：0512-</w:t>
      </w:r>
      <w:r>
        <w:rPr>
          <w:rFonts w:hint="eastAsia" w:ascii="宋体" w:hAnsi="宋体" w:cs="宋体"/>
          <w:color w:val="auto"/>
          <w:sz w:val="24"/>
          <w:szCs w:val="24"/>
          <w:highlight w:val="none"/>
          <w:lang w:val="en-US" w:eastAsia="zh-CN"/>
        </w:rPr>
        <w:t>66325661</w:t>
      </w:r>
    </w:p>
    <w:p w14:paraId="6EC9081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bookmarkEnd w:id="23"/>
      <w:bookmarkEnd w:id="24"/>
      <w:bookmarkEnd w:id="25"/>
      <w:bookmarkEnd w:id="26"/>
    </w:p>
    <w:p w14:paraId="18B58A5C">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苏州市诚捷项目管理有限公司</w:t>
      </w:r>
    </w:p>
    <w:p w14:paraId="58C91F38">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址：</w:t>
      </w:r>
      <w:r>
        <w:rPr>
          <w:rFonts w:hint="eastAsia" w:ascii="宋体" w:hAnsi="宋体" w:cs="宋体"/>
          <w:color w:val="auto"/>
          <w:sz w:val="24"/>
          <w:szCs w:val="24"/>
          <w:highlight w:val="none"/>
          <w:lang w:eastAsia="zh-CN"/>
        </w:rPr>
        <w:t>苏州高新区狮山路76号604-2-009</w:t>
      </w:r>
    </w:p>
    <w:p w14:paraId="445A6C0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eastAsia="zh-CN"/>
        </w:rPr>
        <w:t>18852950723</w:t>
      </w:r>
    </w:p>
    <w:p w14:paraId="2A292989">
      <w:pPr>
        <w:spacing w:line="360" w:lineRule="auto"/>
        <w:ind w:firstLine="480"/>
        <w:rPr>
          <w:rFonts w:hint="eastAsia" w:ascii="宋体" w:hAnsi="宋体" w:cs="宋体"/>
          <w:color w:val="auto"/>
          <w:sz w:val="24"/>
          <w:szCs w:val="24"/>
          <w:highlight w:val="none"/>
        </w:rPr>
      </w:pPr>
      <w:bookmarkStart w:id="27" w:name="_Toc28359021"/>
      <w:bookmarkStart w:id="28" w:name="_Toc35393639"/>
      <w:bookmarkStart w:id="29" w:name="_Toc35393808"/>
      <w:bookmarkStart w:id="30" w:name="_Toc28359098"/>
      <w:r>
        <w:rPr>
          <w:rFonts w:hint="eastAsia" w:ascii="宋体" w:hAnsi="宋体" w:cs="宋体"/>
          <w:color w:val="auto"/>
          <w:sz w:val="24"/>
          <w:szCs w:val="24"/>
          <w:highlight w:val="none"/>
        </w:rPr>
        <w:t>3.项目联系方式</w:t>
      </w:r>
      <w:bookmarkEnd w:id="27"/>
      <w:bookmarkEnd w:id="28"/>
      <w:bookmarkEnd w:id="29"/>
      <w:bookmarkEnd w:id="30"/>
    </w:p>
    <w:p w14:paraId="70EF50F7">
      <w:pPr>
        <w:spacing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eastAsia="zh-CN"/>
        </w:rPr>
        <w:t>张晓雯、周云</w:t>
      </w:r>
    </w:p>
    <w:p w14:paraId="310B63A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电</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话：</w:t>
      </w:r>
      <w:r>
        <w:rPr>
          <w:rFonts w:hint="eastAsia" w:ascii="宋体" w:hAnsi="宋体" w:cs="宋体"/>
          <w:color w:val="auto"/>
          <w:sz w:val="24"/>
          <w:szCs w:val="24"/>
          <w:highlight w:val="none"/>
          <w:lang w:eastAsia="zh-CN"/>
        </w:rPr>
        <w:t>18852950723</w:t>
      </w:r>
    </w:p>
    <w:p w14:paraId="7C1E5B85">
      <w:pPr>
        <w:tabs>
          <w:tab w:val="left" w:pos="8930"/>
          <w:tab w:val="left" w:pos="9306"/>
        </w:tabs>
        <w:spacing w:line="360" w:lineRule="auto"/>
        <w:jc w:val="center"/>
        <w:outlineLvl w:val="0"/>
        <w:rPr>
          <w:rFonts w:hint="eastAsia" w:ascii="宋体" w:hAnsi="宋体" w:cs="宋体"/>
          <w:color w:val="auto"/>
          <w:szCs w:val="21"/>
          <w:highlight w:val="none"/>
        </w:rPr>
      </w:pPr>
      <w:r>
        <w:rPr>
          <w:rFonts w:hint="eastAsia" w:ascii="宋体" w:hAnsi="宋体" w:cs="宋体"/>
          <w:b/>
          <w:bCs/>
          <w:color w:val="auto"/>
          <w:szCs w:val="21"/>
          <w:highlight w:val="none"/>
        </w:rPr>
        <w:br w:type="page" w:clear="all"/>
      </w:r>
      <w:bookmarkStart w:id="31" w:name="_Toc27175"/>
      <w:r>
        <w:rPr>
          <w:rStyle w:val="261"/>
          <w:rFonts w:hint="eastAsia" w:ascii="宋体" w:hAnsi="宋体" w:cs="宋体"/>
          <w:color w:val="auto"/>
          <w:sz w:val="48"/>
          <w:szCs w:val="48"/>
          <w:highlight w:val="none"/>
        </w:rPr>
        <w:t>第二章  磋商须知</w:t>
      </w:r>
      <w:bookmarkEnd w:id="31"/>
    </w:p>
    <w:p w14:paraId="567CFF0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1.说明</w:t>
      </w:r>
    </w:p>
    <w:p w14:paraId="137FCCC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1.1本采购文件仅适用于</w:t>
      </w:r>
      <w:r>
        <w:rPr>
          <w:rFonts w:hint="eastAsia" w:ascii="宋体" w:hAnsi="宋体" w:cs="宋体"/>
          <w:color w:val="auto"/>
          <w:sz w:val="24"/>
          <w:szCs w:val="24"/>
          <w:highlight w:val="none"/>
          <w:lang w:eastAsia="zh-CN"/>
        </w:rPr>
        <w:t>苏州市诚捷项目管理有限公司</w:t>
      </w:r>
      <w:r>
        <w:rPr>
          <w:rFonts w:hint="eastAsia" w:ascii="宋体" w:hAnsi="宋体" w:cs="宋体"/>
          <w:color w:val="auto"/>
          <w:sz w:val="24"/>
          <w:szCs w:val="24"/>
          <w:highlight w:val="none"/>
        </w:rPr>
        <w:t>组织的采购活动。</w:t>
      </w:r>
    </w:p>
    <w:p w14:paraId="27B356A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1.2本次采购活动及因本次采购产生的合同受中国法律制约和保护。</w:t>
      </w:r>
    </w:p>
    <w:p w14:paraId="3F60884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1.3本采购文件的解释权属于</w:t>
      </w:r>
      <w:r>
        <w:rPr>
          <w:rFonts w:hint="eastAsia" w:ascii="宋体" w:hAnsi="宋体" w:cs="宋体"/>
          <w:color w:val="auto"/>
          <w:sz w:val="24"/>
          <w:szCs w:val="24"/>
          <w:highlight w:val="none"/>
          <w:lang w:eastAsia="zh-CN"/>
        </w:rPr>
        <w:t>苏州市诚捷项目管理有限公司</w:t>
      </w:r>
      <w:r>
        <w:rPr>
          <w:rFonts w:hint="eastAsia" w:ascii="宋体" w:hAnsi="宋体" w:cs="宋体"/>
          <w:color w:val="auto"/>
          <w:sz w:val="24"/>
          <w:szCs w:val="24"/>
          <w:highlight w:val="none"/>
        </w:rPr>
        <w:t>。</w:t>
      </w:r>
    </w:p>
    <w:p w14:paraId="58B6CE94">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2.词语释义</w:t>
      </w:r>
    </w:p>
    <w:p w14:paraId="17F10BE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2.1采购单位：依法进行政府采购的国家机关、事业单位、团体组织。</w:t>
      </w:r>
    </w:p>
    <w:p w14:paraId="52D3DD69">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2.2供应商：响应磋商并且符合采购文件规定资格条件和参加磋商竞争的法人、其他组织或者自然人。</w:t>
      </w:r>
    </w:p>
    <w:p w14:paraId="50319953">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2.3响应：供应商根据采购单位发布的采购文件，编制磋商响应文件并按规定参与磋商的行为。</w:t>
      </w:r>
    </w:p>
    <w:p w14:paraId="2051C76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2.4合同：采供双方根据采购文件和成交的磋商响应文件及成交通知书规定的内容签署的以书面形式所达成的协议，包括所有的附件、附录和构成协议的所有文件。</w:t>
      </w:r>
    </w:p>
    <w:p w14:paraId="20B97ED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2.5甲方（采购方）：合同中明确规定的实际购买货物和服务的法人或其他组织和自然人。</w:t>
      </w:r>
    </w:p>
    <w:p w14:paraId="79398D2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2.6乙方（供应商）：合同中规定的向采购方提供货物和服务的法人或其他组织和自然人。</w:t>
      </w:r>
    </w:p>
    <w:p w14:paraId="3B7C963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2.7货物：系指乙方按采购文件规定，应向甲方提供的一切设备、备品、备件、工具、手册及其它有关技术资料和材料。</w:t>
      </w:r>
    </w:p>
    <w:p w14:paraId="413806F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2.8服务：系指本次采购文件规定乙方应承担的与提供货物和服务有关的辅助服务，比如运输、保险、安装、调试、提供技术援助、培训、配合措施、维修响应及合同中规定乙方应承担的其它义务。</w:t>
      </w:r>
    </w:p>
    <w:p w14:paraId="1053E1D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2.9知识产权：指专利权、商标权、著作权等无形财产专有权的统称。</w:t>
      </w:r>
    </w:p>
    <w:p w14:paraId="5F0ED6E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2.10天：日历天。</w:t>
      </w:r>
    </w:p>
    <w:p w14:paraId="28F8176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2.11交货地点：合同中明确约定的乙方提交的货物和服务最终到达地点。</w:t>
      </w:r>
    </w:p>
    <w:p w14:paraId="1767F46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合同价款：根据合同规定，乙方在正确的履行合同义务后甲方应支付乙方的价款。</w:t>
      </w:r>
    </w:p>
    <w:p w14:paraId="0E50035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 产地：货物开采、生长、生产、最终制造、加工或提供服务的来源地。</w:t>
      </w:r>
    </w:p>
    <w:p w14:paraId="66E4221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 不可抗力：不能预见、不能避免并且不能克服的客观情况。</w:t>
      </w:r>
    </w:p>
    <w:p w14:paraId="0920BB9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2.15 实质响应：满足有关本次采购标的、数量、质量、价款或者报酬、履行期限、履行地点和方式、违约责任和解决争议方法等要求。</w:t>
      </w:r>
    </w:p>
    <w:p w14:paraId="66D070C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2.16 进口产品：通过中国海关报关验放进入中国境内且产自关境外的产品。</w:t>
      </w:r>
    </w:p>
    <w:p w14:paraId="1B17ADE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2.17书面形式：指书面文字、合同书、信件和传真等可以有形地表现所载内容的形式。</w:t>
      </w:r>
    </w:p>
    <w:p w14:paraId="238678E6">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3.合格</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的一般、特殊条件</w:t>
      </w:r>
    </w:p>
    <w:p w14:paraId="1B3638B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3.1具有独立承担民事责任的能力；</w:t>
      </w:r>
    </w:p>
    <w:p w14:paraId="31A5A611">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3.2具有良好的商业信誉和健全的财务会计制度证明；</w:t>
      </w:r>
    </w:p>
    <w:p w14:paraId="0442547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3.3具有履行合同所必需的设备和专业技术能力；</w:t>
      </w:r>
    </w:p>
    <w:p w14:paraId="65F5DC0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3.4有依法缴纳税收和社会保障资金的良好记录；</w:t>
      </w:r>
    </w:p>
    <w:p w14:paraId="4D44C0A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3.5参加政府采购活动前三年内，在经营活动中没有重大违法记录；</w:t>
      </w:r>
    </w:p>
    <w:p w14:paraId="63D6C82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3.6法律、行政法规规定的其他条件；</w:t>
      </w:r>
    </w:p>
    <w:p w14:paraId="61A7745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3.7合格</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的特殊条件：</w:t>
      </w:r>
    </w:p>
    <w:p w14:paraId="1333E248">
      <w:pPr>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（1）未被“信用中国”网站（www.creditchina.gov.cn）列入失信被执行人、重大税收违法案件当事人名单、政府采购严重失信行为记录名单。</w:t>
      </w:r>
    </w:p>
    <w:p w14:paraId="6D530763">
      <w:pPr>
        <w:tabs>
          <w:tab w:val="left" w:pos="8930"/>
          <w:tab w:val="left" w:pos="9306"/>
        </w:tabs>
        <w:spacing w:line="360" w:lineRule="auto"/>
        <w:ind w:firstLine="482"/>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eastAsia="zh-CN"/>
        </w:rPr>
        <w:t>）</w:t>
      </w:r>
      <w:r>
        <w:rPr>
          <w:rFonts w:hint="eastAsia" w:ascii="宋体" w:hAnsi="宋体" w:cs="宋体"/>
          <w:bCs/>
          <w:color w:val="auto"/>
          <w:sz w:val="24"/>
          <w:szCs w:val="24"/>
          <w:highlight w:val="none"/>
          <w:lang w:val="en-US" w:eastAsia="zh-CN"/>
        </w:rPr>
        <w:t>供应商</w:t>
      </w:r>
      <w:r>
        <w:rPr>
          <w:rFonts w:hint="eastAsia" w:ascii="宋体" w:hAnsi="宋体" w:cs="宋体"/>
          <w:bCs/>
          <w:color w:val="auto"/>
          <w:sz w:val="24"/>
          <w:szCs w:val="24"/>
          <w:highlight w:val="none"/>
        </w:rPr>
        <w:t>具有有效期内的</w:t>
      </w:r>
      <w:r>
        <w:rPr>
          <w:rFonts w:hint="eastAsia" w:ascii="宋体" w:hAnsi="宋体" w:cs="宋体"/>
          <w:bCs/>
          <w:color w:val="auto"/>
          <w:sz w:val="24"/>
          <w:szCs w:val="24"/>
          <w:highlight w:val="none"/>
          <w:lang w:eastAsia="zh-CN"/>
        </w:rPr>
        <w:t>《食品经营许可证》或《食品生产许可证》</w:t>
      </w:r>
      <w:r>
        <w:rPr>
          <w:rFonts w:hint="eastAsia" w:ascii="宋体" w:hAnsi="宋体" w:cs="宋体"/>
          <w:b w:val="0"/>
          <w:bCs w:val="0"/>
          <w:color w:val="auto"/>
          <w:sz w:val="24"/>
          <w:szCs w:val="24"/>
          <w:highlight w:val="none"/>
        </w:rPr>
        <w:t>。</w:t>
      </w:r>
    </w:p>
    <w:p w14:paraId="67F99F5E">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4.供应商代表</w:t>
      </w:r>
    </w:p>
    <w:p w14:paraId="0961275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4.1指全权代表供应商参加磋商采购活动并签署磋商响应文件的人，如果</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代表不是法人代表，须持有《法人代表授权委托书》（详见附件格式）。</w:t>
      </w:r>
    </w:p>
    <w:p w14:paraId="6382A668">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5.磋商费用</w:t>
      </w:r>
    </w:p>
    <w:p w14:paraId="2785917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5.1无论磋商过程中的做法和结果如何，</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自行承担所有与参加磋商有关的全部费用。</w:t>
      </w:r>
    </w:p>
    <w:p w14:paraId="14D3F92F">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6.联合体响应</w:t>
      </w:r>
    </w:p>
    <w:p w14:paraId="203D35D3">
      <w:pPr>
        <w:spacing w:line="360" w:lineRule="auto"/>
        <w:ind w:firstLine="482"/>
        <w:rPr>
          <w:rFonts w:hint="eastAsia" w:ascii="宋体" w:hAnsi="宋体" w:cs="宋体"/>
          <w:b/>
          <w:bCs/>
          <w:color w:val="auto"/>
          <w:spacing w:val="-1"/>
          <w:sz w:val="24"/>
          <w:szCs w:val="24"/>
          <w:highlight w:val="none"/>
        </w:rPr>
      </w:pPr>
      <w:r>
        <w:rPr>
          <w:rFonts w:hint="eastAsia" w:ascii="宋体" w:hAnsi="宋体" w:cs="宋体"/>
          <w:b/>
          <w:bCs/>
          <w:color w:val="auto"/>
          <w:sz w:val="24"/>
          <w:szCs w:val="24"/>
          <w:highlight w:val="none"/>
        </w:rPr>
        <w:t>本项目不接受联合体，采购文件中涉及的条款均不适用。</w:t>
      </w:r>
    </w:p>
    <w:p w14:paraId="167D36E0">
      <w:pPr>
        <w:spacing w:line="360" w:lineRule="auto"/>
        <w:ind w:firstLine="476"/>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（1）联合体各方应当向采购人提交联合体协议书，载明联合体各方承担的工作和义务，明确小微企业（残疾人福利性单位、监狱企业）的合同份额占到合同总金额的比例（如涉及），否则响应无效。</w:t>
      </w:r>
    </w:p>
    <w:p w14:paraId="75E1764E">
      <w:pPr>
        <w:spacing w:line="360" w:lineRule="auto"/>
        <w:ind w:firstLine="476"/>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(2)联合体中有同类资质的供应商按照联合体分工承担相同工作的，应当按照资质等级较低的供应商确定资质等级。</w:t>
      </w:r>
    </w:p>
    <w:p w14:paraId="69E36C53">
      <w:pPr>
        <w:spacing w:line="360" w:lineRule="auto"/>
        <w:ind w:firstLine="476"/>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(3)联合体各方不得再单独参加或者与其他供应商另外组成联合体参加同一合同项下的政府采购活动，否则各相关响应均无效。</w:t>
      </w:r>
    </w:p>
    <w:p w14:paraId="2FD42E93">
      <w:pPr>
        <w:spacing w:line="360" w:lineRule="auto"/>
        <w:ind w:firstLine="476"/>
        <w:rPr>
          <w:rFonts w:hint="eastAsia" w:ascii="宋体" w:hAnsi="宋体" w:cs="宋体"/>
          <w:b/>
          <w:bCs/>
          <w:color w:val="auto"/>
          <w:sz w:val="24"/>
          <w:szCs w:val="24"/>
          <w:highlight w:val="none"/>
        </w:rPr>
      </w:pPr>
      <w:r>
        <w:rPr>
          <w:rFonts w:hint="eastAsia" w:ascii="宋体" w:hAnsi="宋体" w:cs="宋体"/>
          <w:color w:val="auto"/>
          <w:spacing w:val="-1"/>
          <w:sz w:val="24"/>
          <w:szCs w:val="24"/>
          <w:highlight w:val="none"/>
        </w:rPr>
        <w:t>(4)联合体各方应当共同与采购人签订采购合同，就采购合同约定的事项对采购人承担连带责任。</w:t>
      </w:r>
    </w:p>
    <w:p w14:paraId="10C31AD3">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7.采购文件及采购文件的澄清或修改</w:t>
      </w:r>
    </w:p>
    <w:p w14:paraId="1D98B86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p>
    <w:p w14:paraId="383DD39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p>
    <w:p w14:paraId="1781728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p>
    <w:p w14:paraId="145843D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8.采购文件提疑</w:t>
      </w:r>
    </w:p>
    <w:p w14:paraId="30A075F7">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8.1询问：</w:t>
      </w:r>
      <w:r>
        <w:rPr>
          <w:rFonts w:hint="eastAsia" w:ascii="宋体" w:hAnsi="宋体" w:cs="宋体"/>
          <w:color w:val="auto"/>
          <w:sz w:val="24"/>
          <w:szCs w:val="24"/>
          <w:highlight w:val="none"/>
        </w:rPr>
        <w:t>供应商在收到采购文件后，若有问题需要询问，应于下载采购文件后在“苏采云”里及时提出，采购代理机构将予以解答。</w:t>
      </w:r>
    </w:p>
    <w:p w14:paraId="1F74EB96">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8.2质疑：</w:t>
      </w:r>
    </w:p>
    <w:p w14:paraId="0D188CD4">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8.2.1供应商认为采购文件、采购过程或中标、成交结果使自己的权益受到损害的，可以在知道或者应知其权益受到损害之日起7个工作日内，以书面形式向采购人、采购代理机构提出质疑。采购代理机构应当在收到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书面质疑后7个工作日内作出答复，但不说明来源，并以书面形式通知质疑供应商和与质疑事项有关的供应商，但答复的内容不得涉及商业秘密。</w:t>
      </w:r>
    </w:p>
    <w:p w14:paraId="4F9D128A">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8.2.2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p>
    <w:p w14:paraId="4C6805E5">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8.2.3本次采购文件要求供应商在法定质疑期内一次性提出针对同一采购程序环节的质疑。</w:t>
      </w:r>
    </w:p>
    <w:p w14:paraId="36880E2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8.2.</w:t>
      </w:r>
      <w:r>
        <w:rPr>
          <w:rFonts w:hint="eastAsia" w:ascii="宋体" w:hAnsi="宋体" w:cs="宋体"/>
          <w:color w:val="auto"/>
          <w:sz w:val="24"/>
          <w:szCs w:val="24"/>
          <w:highlight w:val="none"/>
        </w:rPr>
        <w:t>4供应商提出质疑应当提交质疑函和必要的证明材料。质疑函应当包括下列内容：</w:t>
      </w:r>
    </w:p>
    <w:p w14:paraId="0327B77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8.2.</w:t>
      </w:r>
      <w:r>
        <w:rPr>
          <w:rFonts w:hint="eastAsia" w:ascii="宋体" w:hAnsi="宋体" w:cs="宋体"/>
          <w:color w:val="auto"/>
          <w:sz w:val="24"/>
          <w:szCs w:val="24"/>
          <w:highlight w:val="none"/>
        </w:rPr>
        <w:t>4.1供应商的姓名或者名称（以营业执照副本复印件为准）、地址、邮编、联系人及联系电话；</w:t>
      </w:r>
    </w:p>
    <w:p w14:paraId="4EBF348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4.2质疑项目的名称、编号；</w:t>
      </w:r>
    </w:p>
    <w:p w14:paraId="2E435D7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4.3具体、明确的质疑事项和与质疑事项相关的请求；</w:t>
      </w:r>
    </w:p>
    <w:p w14:paraId="2360FB8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4.4事实依据；</w:t>
      </w:r>
    </w:p>
    <w:p w14:paraId="2DE1723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4.5必要的法律依据；</w:t>
      </w:r>
    </w:p>
    <w:p w14:paraId="31A7F99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4.6提出质疑的日期；</w:t>
      </w:r>
    </w:p>
    <w:p w14:paraId="5326559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4.7</w:t>
      </w:r>
      <w:r>
        <w:rPr>
          <w:rFonts w:hint="eastAsia" w:ascii="宋体" w:hAnsi="宋体" w:cs="宋体"/>
          <w:bCs/>
          <w:color w:val="auto"/>
          <w:sz w:val="24"/>
          <w:szCs w:val="24"/>
          <w:highlight w:val="none"/>
        </w:rPr>
        <w:t>供应商参加投标确认函</w:t>
      </w:r>
      <w:r>
        <w:rPr>
          <w:rFonts w:hint="eastAsia" w:ascii="宋体" w:hAnsi="宋体" w:cs="宋体"/>
          <w:color w:val="auto"/>
          <w:sz w:val="24"/>
          <w:szCs w:val="24"/>
          <w:highlight w:val="none"/>
        </w:rPr>
        <w:t>。</w:t>
      </w:r>
    </w:p>
    <w:p w14:paraId="7E2C816F">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035FE05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Cs/>
          <w:color w:val="auto"/>
          <w:sz w:val="24"/>
          <w:szCs w:val="24"/>
          <w:highlight w:val="none"/>
        </w:rPr>
        <w:t>2.</w:t>
      </w:r>
      <w:r>
        <w:rPr>
          <w:rFonts w:hint="eastAsia" w:ascii="宋体" w:hAnsi="宋体" w:cs="宋体"/>
          <w:color w:val="auto"/>
          <w:sz w:val="24"/>
          <w:szCs w:val="24"/>
          <w:highlight w:val="none"/>
        </w:rPr>
        <w:t>4.8接收质疑函的方式：书面形式（当场送达或邮寄方式）。</w:t>
      </w:r>
    </w:p>
    <w:p w14:paraId="552CF969">
      <w:pPr>
        <w:tabs>
          <w:tab w:val="left" w:pos="8930"/>
          <w:tab w:val="left" w:pos="9306"/>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联系方式详见采购公告。</w:t>
      </w:r>
    </w:p>
    <w:p w14:paraId="677ACE37">
      <w:pPr>
        <w:pStyle w:val="12"/>
        <w:spacing w:line="360" w:lineRule="auto"/>
        <w:ind w:left="0" w:firstLine="482"/>
        <w:outlineLvl w:val="1"/>
        <w:rPr>
          <w:rFonts w:hint="eastAsia" w:ascii="宋体" w:hAnsi="宋体" w:cs="宋体"/>
          <w:b/>
          <w:color w:val="auto"/>
          <w:sz w:val="24"/>
          <w:szCs w:val="24"/>
          <w:highlight w:val="none"/>
        </w:rPr>
      </w:pPr>
      <w:bookmarkStart w:id="32" w:name="_Toc31942"/>
      <w:r>
        <w:rPr>
          <w:rFonts w:hint="eastAsia" w:ascii="宋体" w:hAnsi="宋体" w:cs="宋体"/>
          <w:b/>
          <w:color w:val="auto"/>
          <w:sz w:val="24"/>
          <w:szCs w:val="24"/>
          <w:highlight w:val="none"/>
        </w:rPr>
        <w:t>9.勘察现场</w:t>
      </w:r>
      <w:bookmarkEnd w:id="32"/>
    </w:p>
    <w:p w14:paraId="6CCB5A6D">
      <w:pPr>
        <w:pStyle w:val="12"/>
        <w:spacing w:line="360" w:lineRule="auto"/>
        <w:ind w:left="0"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9.1本项目不组织统一勘察现场。</w:t>
      </w:r>
    </w:p>
    <w:p w14:paraId="644D7F86">
      <w:pPr>
        <w:pStyle w:val="12"/>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9.2根据自身需要，</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可在磋商响应文件递交之日前对有关现场和周围环境进行勘察，以获取编制响应文件和签署合同所需的信息。勘察现场所发生的费用由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自己承担。</w:t>
      </w:r>
    </w:p>
    <w:p w14:paraId="726FE85C">
      <w:pPr>
        <w:pStyle w:val="12"/>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9.3采购单位向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提供的有关现场的资料和数据（如有），是采购单位现有的并认为能使</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可利用的资料。采购单位对</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由此而做出的推论、理解和结论概不负责。</w:t>
      </w:r>
    </w:p>
    <w:p w14:paraId="6FED66F9">
      <w:pPr>
        <w:pStyle w:val="12"/>
        <w:spacing w:line="360" w:lineRule="auto"/>
        <w:ind w:left="0"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9.4经采购单位允许，</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可为勘察目的进入采购单位的项目现场，但</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不得因此使采购单位承担有关的责任和蒙受损失。</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应承担勘察现场的责任和风险。</w:t>
      </w:r>
    </w:p>
    <w:p w14:paraId="0C7A6C5C">
      <w:pPr>
        <w:tabs>
          <w:tab w:val="left" w:pos="8930"/>
          <w:tab w:val="left" w:pos="9306"/>
        </w:tabs>
        <w:spacing w:line="360" w:lineRule="auto"/>
        <w:ind w:firstLine="480"/>
        <w:rPr>
          <w:rFonts w:hint="eastAsia" w:ascii="宋体" w:hAnsi="宋体" w:cs="宋体"/>
          <w:b/>
          <w:bCs/>
          <w:color w:val="auto"/>
          <w:sz w:val="24"/>
          <w:szCs w:val="24"/>
          <w:highlight w:val="none"/>
        </w:rPr>
      </w:pPr>
      <w:r>
        <w:rPr>
          <w:rFonts w:hint="eastAsia" w:ascii="宋体" w:hAnsi="宋体" w:cs="宋体"/>
          <w:color w:val="auto"/>
          <w:sz w:val="24"/>
          <w:szCs w:val="24"/>
          <w:highlight w:val="none"/>
        </w:rPr>
        <w:t>9.5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应在现场勘察时，熟悉现场及周围交通道路等情况，以获得一切可能影响其磋商的直接资料。</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成交后，不得以不完全了解现场情况为理由而向采购单位提出任何索赔的要求，对此采购单位不承担任何责任并将不作任何答复与考虑。</w:t>
      </w:r>
    </w:p>
    <w:p w14:paraId="521173C9">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10.提示与要求</w:t>
      </w:r>
    </w:p>
    <w:p w14:paraId="7B7A7C68">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应仔细阅读采购文件的所有内容，按采购文件的要求提供（上传）响应文件，并保证所提供的全部资料的真实性，以使其对采购文件作出实质性响应，否则，其磋商响应文件可能被拒绝。</w:t>
      </w:r>
    </w:p>
    <w:p w14:paraId="616E6E4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10.2无论是否递交（上传）磋商响应文件，供应商都应将采购文件及以后的所有通知、文件等视为保密文件。</w:t>
      </w:r>
    </w:p>
    <w:p w14:paraId="4B99EABA">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11.响应文件计量单位和使用文字</w:t>
      </w:r>
    </w:p>
    <w:p w14:paraId="1382ED3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11.1响应文件中所使用的计量单位，除采购文件中有特殊要求外，均应使用中华人民共和国法定计量单位。</w:t>
      </w:r>
    </w:p>
    <w:p w14:paraId="137358F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11.2响应文件应使用中文编制，响应文件中必须使用其他文字的，必须附有中文译本。对于未附有中文译本和中文译本不准确的响应文件可能引起的对供应商不利的后果，采购单位概不负责。</w:t>
      </w:r>
    </w:p>
    <w:p w14:paraId="39D45FF9">
      <w:pPr>
        <w:tabs>
          <w:tab w:val="left" w:pos="753"/>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12.响应文件组成（部分格式见第六章）</w:t>
      </w:r>
    </w:p>
    <w:p w14:paraId="2A4F2CF2">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12.1响应文件报价部分：</w:t>
      </w:r>
    </w:p>
    <w:p w14:paraId="06B2D7B9">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12.1.1开标一览表（第一次），具体按照“苏采云”系统要求填报；</w:t>
      </w:r>
    </w:p>
    <w:p w14:paraId="3ADFC5C8">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12.1.2磋商报价明细表；</w:t>
      </w:r>
    </w:p>
    <w:p w14:paraId="593474D6">
      <w:pPr>
        <w:tabs>
          <w:tab w:val="left" w:pos="0"/>
        </w:tabs>
        <w:spacing w:line="360"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12.2资格审查文件（资格条件要求提供的材料是作为对供应商资格审查、质疑身份认定的依据。必须清晰可辨，供应商必须提供并加盖电子签章。</w:t>
      </w:r>
      <w:r>
        <w:rPr>
          <w:rFonts w:hint="eastAsia" w:ascii="宋体" w:hAnsi="宋体" w:cs="宋体"/>
          <w:b/>
          <w:bCs/>
          <w:color w:val="auto"/>
          <w:sz w:val="24"/>
          <w:szCs w:val="24"/>
          <w:highlight w:val="none"/>
        </w:rPr>
        <w:t>否则，磋商响应文件将被认定为不符合资格审查要求。</w:t>
      </w:r>
      <w:r>
        <w:rPr>
          <w:rFonts w:hint="eastAsia" w:ascii="宋体" w:hAnsi="宋体" w:cs="宋体"/>
          <w:b/>
          <w:color w:val="auto"/>
          <w:sz w:val="24"/>
          <w:szCs w:val="24"/>
          <w:highlight w:val="none"/>
        </w:rPr>
        <w:t>）：</w:t>
      </w:r>
    </w:p>
    <w:p w14:paraId="594D9F08">
      <w:pPr>
        <w:spacing w:line="360" w:lineRule="auto"/>
        <w:ind w:firstLine="48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12.2.1具有独立承担民事责任的能力证明。需提供包括法人或者其他组织的营业执照等证明文件，自然人的身份证明；</w:t>
      </w:r>
    </w:p>
    <w:p w14:paraId="608DEB32">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12.2.2具有良好的商业信誉和健全的财务会计制度证明。需提供包括但不限于最近一期经审计的财务报告，其他组织、自然人及成立未满一年的法人应提供银行出具的资信证明；</w:t>
      </w:r>
    </w:p>
    <w:p w14:paraId="28418317">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12.2.3具有履行合同所必需的设备和专业技术能力。需提供具有履行合同所必备的设备和专业技术能力的证明材料；</w:t>
      </w:r>
    </w:p>
    <w:p w14:paraId="2D66E0CB">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cs="宋体"/>
          <w:color w:val="auto"/>
          <w:spacing w:val="-1"/>
          <w:sz w:val="24"/>
          <w:szCs w:val="24"/>
          <w:highlight w:val="none"/>
        </w:rPr>
        <w:t>；</w:t>
      </w:r>
    </w:p>
    <w:p w14:paraId="6A0003CD">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12.2.5参加政府采购活动前3年内在经营活动中没有重大违法记录。需提供参加政府采购活动前3年内在经营活动中没有重大违法记录的书面声明；</w:t>
      </w:r>
    </w:p>
    <w:p w14:paraId="2D3E0679">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12.2.6法律、行政法规规定的其他条件；</w:t>
      </w:r>
    </w:p>
    <w:p w14:paraId="188CF384">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12.2.7落实政府采购政策需满足的资格要求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根据《政府采购促进中小企业发展管理办法》的相关规定，本项目专门面向中小企业采购，所属行业为</w:t>
      </w:r>
      <w:r>
        <w:rPr>
          <w:rFonts w:hint="eastAsia" w:ascii="宋体" w:hAnsi="宋体" w:cs="宋体"/>
          <w:b/>
          <w:bCs/>
          <w:color w:val="auto"/>
          <w:sz w:val="24"/>
          <w:szCs w:val="24"/>
          <w:highlight w:val="none"/>
        </w:rPr>
        <w:t>餐饮业</w:t>
      </w:r>
      <w:r>
        <w:rPr>
          <w:rFonts w:hint="eastAsia" w:ascii="宋体" w:hAnsi="宋体" w:cs="宋体"/>
          <w:color w:val="auto"/>
          <w:sz w:val="24"/>
          <w:szCs w:val="24"/>
          <w:highlight w:val="none"/>
        </w:rPr>
        <w:t>。供应商应提供《中小企业声明函》或《残疾人福利性单位声明函》或省级以上监狱管理局、戒毒管理局（含新疆生产建设兵团）出具的属于监狱企业的证明文件。</w:t>
      </w:r>
    </w:p>
    <w:p w14:paraId="058AB43E">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本项目的特定资格要求：</w:t>
      </w:r>
    </w:p>
    <w:p w14:paraId="22187F93">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12.2.</w:t>
      </w:r>
      <w:r>
        <w:rPr>
          <w:rFonts w:hint="eastAsia" w:ascii="宋体" w:hAnsi="宋体" w:cs="宋体"/>
          <w:color w:val="auto"/>
          <w:sz w:val="24"/>
          <w:szCs w:val="24"/>
          <w:highlight w:val="none"/>
          <w:lang w:val="en-US" w:eastAsia="zh-CN"/>
        </w:rPr>
        <w:t>8.1</w:t>
      </w:r>
      <w:r>
        <w:rPr>
          <w:rFonts w:hint="eastAsia" w:ascii="宋体" w:hAnsi="宋体" w:cs="宋体"/>
          <w:color w:val="auto"/>
          <w:sz w:val="24"/>
          <w:szCs w:val="24"/>
          <w:highlight w:val="none"/>
        </w:rPr>
        <w:t>未被“信用中国”网站（www.creditchina.gov.cn）列入失信被执行人、重大税收违法案件当事人名单、政府采购严重失信行为记录名单。需提供“信用中国”网站下载的信用报告复印件；</w:t>
      </w:r>
    </w:p>
    <w:p w14:paraId="7FE842DF">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12.2.</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2供应商具有有效期内的</w:t>
      </w:r>
      <w:r>
        <w:rPr>
          <w:rFonts w:hint="eastAsia" w:ascii="宋体" w:hAnsi="宋体" w:cs="宋体"/>
          <w:color w:val="auto"/>
          <w:sz w:val="24"/>
          <w:szCs w:val="24"/>
          <w:highlight w:val="none"/>
          <w:lang w:eastAsia="zh-CN"/>
        </w:rPr>
        <w:t>《食品经营许可证》或《食品生产许可证》。</w:t>
      </w:r>
    </w:p>
    <w:p w14:paraId="4BE29176">
      <w:pPr>
        <w:pStyle w:val="245"/>
        <w:spacing w:after="0" w:line="360" w:lineRule="auto"/>
        <w:ind w:firstLine="482"/>
        <w:rPr>
          <w:rFonts w:hint="eastAsia" w:ascii="宋体" w:hAnsi="宋体" w:cs="宋体"/>
          <w:color w:val="auto"/>
          <w:sz w:val="24"/>
          <w:highlight w:val="none"/>
        </w:rPr>
      </w:pPr>
      <w:r>
        <w:rPr>
          <w:rFonts w:hint="eastAsia" w:ascii="宋体" w:hAnsi="宋体" w:cs="宋体"/>
          <w:b/>
          <w:color w:val="auto"/>
          <w:sz w:val="24"/>
          <w:highlight w:val="none"/>
        </w:rPr>
        <w:t>12.3符合性审查文件</w:t>
      </w:r>
    </w:p>
    <w:p w14:paraId="181DCB00">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法定代表人身份证复印件；</w:t>
      </w:r>
    </w:p>
    <w:p w14:paraId="3F0C1046">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法定代表人授权委托书、代理人身份证复印件（如有授权）；</w:t>
      </w:r>
    </w:p>
    <w:p w14:paraId="2A5B6551">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磋商响应函；</w:t>
      </w:r>
    </w:p>
    <w:p w14:paraId="63BFCD90">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关于资格文件的声明函；</w:t>
      </w:r>
    </w:p>
    <w:p w14:paraId="6BF20A07">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基本情况表；</w:t>
      </w:r>
    </w:p>
    <w:p w14:paraId="23E4C6F7">
      <w:pPr>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val="zh-CN"/>
        </w:rPr>
        <w:t>投标（响应）保证承诺书；</w:t>
      </w:r>
    </w:p>
    <w:p w14:paraId="79E9F1E1">
      <w:pPr>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7</w:t>
      </w:r>
      <w:r>
        <w:rPr>
          <w:rFonts w:hint="eastAsia" w:ascii="宋体" w:hAnsi="宋体" w:cs="宋体"/>
          <w:color w:val="auto"/>
          <w:spacing w:val="-1"/>
          <w:sz w:val="24"/>
          <w:szCs w:val="24"/>
          <w:highlight w:val="none"/>
        </w:rPr>
        <w:t>服务要求偏离表、商务需求偏离表</w:t>
      </w:r>
      <w:r>
        <w:rPr>
          <w:rFonts w:hint="eastAsia" w:ascii="宋体" w:hAnsi="宋体" w:cs="宋体"/>
          <w:color w:val="auto"/>
          <w:sz w:val="24"/>
          <w:szCs w:val="24"/>
          <w:highlight w:val="none"/>
          <w:lang w:val="zh-CN"/>
        </w:rPr>
        <w:t>；</w:t>
      </w:r>
    </w:p>
    <w:p w14:paraId="72F5E0EE">
      <w:pPr>
        <w:spacing w:line="360" w:lineRule="auto"/>
        <w:ind w:firstLine="480"/>
        <w:jc w:val="lef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12.3.</w:t>
      </w:r>
      <w:r>
        <w:rPr>
          <w:rFonts w:hint="eastAsia" w:ascii="宋体" w:hAnsi="宋体" w:cs="宋体"/>
          <w:b w:val="0"/>
          <w:bCs w:val="0"/>
          <w:color w:val="auto"/>
          <w:sz w:val="24"/>
          <w:szCs w:val="24"/>
          <w:highlight w:val="none"/>
          <w:lang w:val="en-US" w:eastAsia="zh-CN"/>
        </w:rPr>
        <w:t>8</w:t>
      </w:r>
      <w:r>
        <w:rPr>
          <w:rFonts w:hint="eastAsia" w:ascii="宋体" w:hAnsi="宋体" w:cs="宋体"/>
          <w:b w:val="0"/>
          <w:bCs w:val="0"/>
          <w:color w:val="auto"/>
          <w:sz w:val="24"/>
          <w:szCs w:val="24"/>
          <w:highlight w:val="none"/>
        </w:rPr>
        <w:t>投入本项目人员配备一览表；</w:t>
      </w:r>
    </w:p>
    <w:p w14:paraId="5934F40F">
      <w:pPr>
        <w:spacing w:line="360" w:lineRule="auto"/>
        <w:ind w:firstLine="480"/>
        <w:jc w:val="lef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12.3.</w:t>
      </w:r>
      <w:r>
        <w:rPr>
          <w:rFonts w:hint="eastAsia" w:ascii="宋体" w:hAnsi="宋体" w:cs="宋体"/>
          <w:b w:val="0"/>
          <w:bCs w:val="0"/>
          <w:color w:val="auto"/>
          <w:sz w:val="24"/>
          <w:szCs w:val="24"/>
          <w:highlight w:val="none"/>
          <w:lang w:val="en-US" w:eastAsia="zh-CN"/>
        </w:rPr>
        <w:t>9</w:t>
      </w:r>
      <w:r>
        <w:rPr>
          <w:rFonts w:hint="eastAsia" w:ascii="宋体" w:hAnsi="宋体" w:cs="宋体"/>
          <w:b w:val="0"/>
          <w:bCs w:val="0"/>
          <w:color w:val="auto"/>
          <w:sz w:val="24"/>
          <w:szCs w:val="24"/>
          <w:highlight w:val="none"/>
        </w:rPr>
        <w:t>项目负责人情况一览表</w:t>
      </w:r>
      <w:r>
        <w:rPr>
          <w:rFonts w:hint="eastAsia" w:ascii="宋体" w:hAnsi="宋体" w:cs="宋体"/>
          <w:b w:val="0"/>
          <w:bCs w:val="0"/>
          <w:color w:val="auto"/>
          <w:sz w:val="24"/>
          <w:szCs w:val="24"/>
          <w:highlight w:val="none"/>
          <w:lang w:eastAsia="zh-CN"/>
        </w:rPr>
        <w:t>；</w:t>
      </w:r>
    </w:p>
    <w:p w14:paraId="10962357">
      <w:pPr>
        <w:spacing w:line="360" w:lineRule="auto"/>
        <w:ind w:firstLine="480"/>
        <w:jc w:val="left"/>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rPr>
        <w:t>12.3.</w:t>
      </w:r>
      <w:r>
        <w:rPr>
          <w:rFonts w:hint="eastAsia" w:ascii="宋体" w:hAnsi="宋体" w:cs="宋体"/>
          <w:b w:val="0"/>
          <w:bCs w:val="0"/>
          <w:color w:val="auto"/>
          <w:sz w:val="24"/>
          <w:szCs w:val="24"/>
          <w:highlight w:val="none"/>
          <w:lang w:val="en-US" w:eastAsia="zh-CN"/>
        </w:rPr>
        <w:t>10</w:t>
      </w:r>
      <w:r>
        <w:rPr>
          <w:rFonts w:hint="eastAsia" w:ascii="宋体" w:hAnsi="宋体" w:cs="宋体"/>
          <w:b w:val="0"/>
          <w:bCs w:val="0"/>
          <w:color w:val="auto"/>
          <w:sz w:val="24"/>
          <w:szCs w:val="24"/>
          <w:highlight w:val="none"/>
          <w:lang w:eastAsia="zh-CN"/>
        </w:rPr>
        <w:t>“每周食材均以新鲜食材为主，半成品、冰冻品和腌制品每周不超过两次。”的承诺函（格式自拟）；</w:t>
      </w:r>
    </w:p>
    <w:p w14:paraId="46A5DDEE">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w:t>
      </w:r>
      <w:r>
        <w:rPr>
          <w:rFonts w:hint="eastAsia" w:ascii="宋体" w:hAnsi="宋体" w:cs="宋体"/>
          <w:color w:val="auto"/>
          <w:sz w:val="24"/>
          <w:szCs w:val="24"/>
          <w:highlight w:val="none"/>
          <w:lang w:val="en-US" w:eastAsia="zh-CN"/>
        </w:rPr>
        <w:t>11</w:t>
      </w:r>
      <w:r>
        <w:rPr>
          <w:rFonts w:hint="eastAsia" w:ascii="宋体" w:hAnsi="宋体" w:cs="宋体"/>
          <w:color w:val="auto"/>
          <w:spacing w:val="-1"/>
          <w:sz w:val="24"/>
          <w:szCs w:val="24"/>
          <w:highlight w:val="none"/>
          <w:lang w:eastAsia="zh-CN"/>
        </w:rPr>
        <w:t>供应商</w:t>
      </w:r>
      <w:r>
        <w:rPr>
          <w:rFonts w:hint="eastAsia" w:ascii="宋体" w:hAnsi="宋体" w:cs="宋体"/>
          <w:color w:val="auto"/>
          <w:spacing w:val="-1"/>
          <w:sz w:val="24"/>
          <w:szCs w:val="24"/>
          <w:highlight w:val="none"/>
        </w:rPr>
        <w:t>与其他单位存在控股、管理关系情况表；</w:t>
      </w:r>
    </w:p>
    <w:p w14:paraId="3AFAD80D">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12.3.1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其他有关符合性证明文件（如有）。</w:t>
      </w:r>
    </w:p>
    <w:p w14:paraId="0FAE9DEF">
      <w:pPr>
        <w:pStyle w:val="256"/>
        <w:ind w:left="0"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12.4综合评审文件（评分要点及技术要求）</w:t>
      </w:r>
    </w:p>
    <w:p w14:paraId="02334ECF">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12.4.1技术部分（评分要点及技术要求）；</w:t>
      </w:r>
    </w:p>
    <w:p w14:paraId="12D66C85">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12.4.2评分标准中所涉及到的其他材料等；</w:t>
      </w:r>
    </w:p>
    <w:p w14:paraId="123820DD">
      <w:pPr>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12.4.3其他需供应商对本次响应的详细说明。</w:t>
      </w:r>
    </w:p>
    <w:p w14:paraId="11AF8B06">
      <w:pPr>
        <w:pStyle w:val="256"/>
        <w:ind w:left="0" w:firstLine="482"/>
        <w:rPr>
          <w:rFonts w:hint="eastAsia" w:ascii="宋体" w:hAnsi="宋体" w:cs="宋体"/>
          <w:bCs/>
          <w:color w:val="auto"/>
          <w:sz w:val="24"/>
          <w:szCs w:val="24"/>
          <w:highlight w:val="none"/>
        </w:rPr>
      </w:pPr>
      <w:r>
        <w:rPr>
          <w:rFonts w:hint="eastAsia" w:ascii="宋体" w:hAnsi="宋体" w:cs="宋体"/>
          <w:b/>
          <w:color w:val="auto"/>
          <w:sz w:val="24"/>
          <w:szCs w:val="24"/>
          <w:highlight w:val="none"/>
        </w:rPr>
        <w:t>12.5企业报价折扣证明：</w:t>
      </w:r>
      <w:r>
        <w:rPr>
          <w:rFonts w:hint="eastAsia" w:ascii="宋体" w:hAnsi="宋体" w:cs="宋体"/>
          <w:bCs/>
          <w:color w:val="auto"/>
          <w:sz w:val="24"/>
          <w:szCs w:val="24"/>
          <w:highlight w:val="none"/>
        </w:rPr>
        <w:t>本项目专门面向中小企业采购，</w:t>
      </w:r>
      <w:r>
        <w:rPr>
          <w:rFonts w:hint="eastAsia" w:ascii="宋体" w:hAnsi="宋体" w:cs="宋体"/>
          <w:color w:val="auto"/>
          <w:sz w:val="24"/>
          <w:szCs w:val="24"/>
          <w:highlight w:val="none"/>
        </w:rPr>
        <w:t>供应商应提供《中小企业声明函》或《残疾人福利性单位声明函》或省级以上监狱管理局、戒毒管理局（含新疆生产建设兵团）出具的属于监狱企业的证明文件。</w:t>
      </w:r>
    </w:p>
    <w:p w14:paraId="56CEBCD8">
      <w:pPr>
        <w:tabs>
          <w:tab w:val="left" w:pos="0"/>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注1：响应文件由上述条款规定的内容共同组成。</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必须提交上述</w:t>
      </w:r>
      <w:r>
        <w:rPr>
          <w:rFonts w:hint="eastAsia" w:ascii="宋体" w:hAnsi="宋体" w:cs="宋体"/>
          <w:b/>
          <w:color w:val="auto"/>
          <w:sz w:val="24"/>
          <w:szCs w:val="24"/>
          <w:highlight w:val="none"/>
        </w:rPr>
        <w:t>12.1.1-12.3.1</w:t>
      </w:r>
      <w:r>
        <w:rPr>
          <w:rFonts w:hint="eastAsia" w:ascii="宋体" w:hAnsi="宋体" w:cs="宋体"/>
          <w:b/>
          <w:color w:val="auto"/>
          <w:sz w:val="24"/>
          <w:szCs w:val="24"/>
          <w:highlight w:val="none"/>
          <w:lang w:val="en-US" w:eastAsia="zh-CN"/>
        </w:rPr>
        <w:t>2、12.5</w:t>
      </w:r>
      <w:r>
        <w:rPr>
          <w:rFonts w:hint="eastAsia" w:ascii="宋体" w:hAnsi="宋体" w:cs="宋体"/>
          <w:b/>
          <w:color w:val="auto"/>
          <w:sz w:val="24"/>
          <w:szCs w:val="24"/>
          <w:highlight w:val="none"/>
        </w:rPr>
        <w:t>款规定的资料。否则，响应文件将因资格条件不符或未实质性响应采购文件而被拒绝。</w:t>
      </w:r>
    </w:p>
    <w:p w14:paraId="4ADCAB09">
      <w:pPr>
        <w:tabs>
          <w:tab w:val="left" w:pos="0"/>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注2：资格审查文件、符合性审查文件、综合评审文件（评分要点及技术要求）和企业报价折扣证明中不得出现报价，备品备件、易损件除外。</w:t>
      </w:r>
    </w:p>
    <w:p w14:paraId="62ABA217">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按上述要求提交相关资料，</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所提交的资格文件的完整与否，将直接影响</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的评分。</w:t>
      </w:r>
      <w:r>
        <w:rPr>
          <w:rFonts w:hint="eastAsia" w:ascii="宋体" w:hAnsi="宋体" w:cs="宋体"/>
          <w:bCs/>
          <w:color w:val="auto"/>
          <w:sz w:val="24"/>
          <w:szCs w:val="24"/>
          <w:highlight w:val="none"/>
          <w:lang w:eastAsia="zh-CN"/>
        </w:rPr>
        <w:t>供应商</w:t>
      </w:r>
      <w:r>
        <w:rPr>
          <w:rFonts w:hint="eastAsia" w:ascii="宋体" w:hAnsi="宋体" w:cs="宋体"/>
          <w:bCs/>
          <w:color w:val="auto"/>
          <w:sz w:val="24"/>
          <w:szCs w:val="24"/>
          <w:highlight w:val="none"/>
        </w:rPr>
        <w:t>必须保证全部资料的真实性，如有虚假或对采购文件所要求说明的情况故意隐瞒或虚报，视为不实质性响应采购文件，为无效响应。已成交标的将取消成交资格，并按《中华人民共和国政府采购法》第七十七条“提供虚假材料谋取中标、成交”相关处理办法处理。</w:t>
      </w:r>
    </w:p>
    <w:p w14:paraId="0EA8C4F1">
      <w:pPr>
        <w:tabs>
          <w:tab w:val="left" w:pos="8930"/>
          <w:tab w:val="left" w:pos="9306"/>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13.报价（编制）要求的说明</w:t>
      </w:r>
    </w:p>
    <w:p w14:paraId="0BEA6D9A">
      <w:pPr>
        <w:tabs>
          <w:tab w:val="left" w:pos="753"/>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13.1除非合同中另有规定，供应商对全部货物和服务的报价应包括完成全部服务所需的食材、配料、易耗品、通讯、服装、胸卡、办公设备、各类工具及其他费用、各种税费、人工、保险、劳保、维护、利润、税金、代理服务费、政策性文件规定及合同包含的所有风险、责任等各项应有费用。磋商二次报价为最终报价，除非因特殊原因并经买卖双方协商同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不得再要求追加任何费用。同时，除非合同条款中另有规定，否则，</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所报价格在合同实施期间不因市场变化因素而变动。</w:t>
      </w:r>
    </w:p>
    <w:p w14:paraId="14F9B1A6">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p>
    <w:p w14:paraId="609D14B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13.3 一项内容只允许一个报价，采购单位不接受任何有选择性的报价。</w:t>
      </w:r>
    </w:p>
    <w:p w14:paraId="13726A9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13.4 磋商响应文件报价中的单价和总价全部采用人民币表示，除非合同的特殊条款另有规定。</w:t>
      </w:r>
    </w:p>
    <w:p w14:paraId="0EBE3519">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14.保证金</w:t>
      </w:r>
    </w:p>
    <w:p w14:paraId="3522788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根据《江苏省财政厅文件苏财购【2020】52号》相关规定，本项目无须缴纳磋商保证金。</w:t>
      </w:r>
    </w:p>
    <w:p w14:paraId="6B5D44B0">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15.响应文件的有效期</w:t>
      </w:r>
    </w:p>
    <w:p w14:paraId="722A80D3">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15.1自磋商响应文件递交（上传）截止之日起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天内，磋商响应文件应保持有效。有效期短于这个规定期限的响应，将被拒绝。</w:t>
      </w:r>
    </w:p>
    <w:p w14:paraId="3C7DDDD5">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15.2在特殊情况下，采购单位可与供应商协商延长磋商响应文件的有效期。这种要求和答复都应以书面形式进行。同意延长有效期的供应商不能修改磋商响应文件。拒绝接受延期要求的供应商的响应将被拒绝。</w:t>
      </w:r>
    </w:p>
    <w:p w14:paraId="4FD8CB32">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16.截止时间</w:t>
      </w:r>
    </w:p>
    <w:p w14:paraId="4D871EAD">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16.1响应文件必须在递交（上传）截止时间前上传系统。</w:t>
      </w:r>
    </w:p>
    <w:p w14:paraId="06310ADE">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16.2采购单位推迟磋商截止时间时，应以网上公告形式，通知所有供应商。在这种情况下，采购单位和供应商的权利和义务将受到新的截止期的约束。</w:t>
      </w:r>
    </w:p>
    <w:p w14:paraId="3AB1C36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16.3在递交（上传）截止时间以后递交（上传）的磋商响应文件，采购单位将拒绝接收。</w:t>
      </w:r>
    </w:p>
    <w:p w14:paraId="48001E23">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17.</w:t>
      </w:r>
      <w:r>
        <w:rPr>
          <w:rFonts w:hint="eastAsia" w:ascii="宋体" w:hAnsi="宋体" w:cs="宋体"/>
          <w:b/>
          <w:bCs/>
          <w:color w:val="auto"/>
          <w:sz w:val="24"/>
          <w:szCs w:val="24"/>
          <w:highlight w:val="none"/>
        </w:rPr>
        <w:t>电子投标（响应）文件的编制与提交</w:t>
      </w:r>
    </w:p>
    <w:p w14:paraId="1C6D752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p>
    <w:p w14:paraId="205FF0D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p>
    <w:p w14:paraId="34DBED4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1）请供应商务必保管好编制递交电子投标（响应）文件时使用的CA，如因丢失、损坏等原因更换CA锁时，需重新制作电子投标（响应）文件并递交，否则可能无法解密，因此导致的响应失败等不利后果由供应商自行承担。</w:t>
      </w:r>
    </w:p>
    <w:p w14:paraId="4F0E12F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p>
    <w:p w14:paraId="03C8ED0B">
      <w:pPr>
        <w:spacing w:line="360" w:lineRule="auto"/>
        <w:ind w:firstLine="480"/>
        <w:rPr>
          <w:rFonts w:hint="eastAsia" w:ascii="宋体" w:hAnsi="宋体" w:cs="宋体"/>
          <w:b/>
          <w:bCs/>
          <w:color w:val="auto"/>
          <w:sz w:val="24"/>
          <w:szCs w:val="24"/>
          <w:highlight w:val="none"/>
        </w:rPr>
      </w:pPr>
      <w:r>
        <w:rPr>
          <w:rFonts w:hint="eastAsia" w:ascii="宋体" w:hAnsi="宋体" w:cs="宋体"/>
          <w:color w:val="auto"/>
          <w:sz w:val="24"/>
          <w:szCs w:val="24"/>
          <w:highlight w:val="none"/>
        </w:rPr>
        <w:t>17.3</w:t>
      </w:r>
      <w:r>
        <w:rPr>
          <w:rFonts w:hint="eastAsia" w:ascii="宋体" w:hAnsi="宋体" w:cs="宋体"/>
          <w:b/>
          <w:bCs/>
          <w:color w:val="auto"/>
          <w:sz w:val="24"/>
          <w:szCs w:val="24"/>
          <w:highlight w:val="none"/>
        </w:rPr>
        <w:t>响应文件未按照采购文件要求加盖CA电子公章的，响应无效。</w:t>
      </w:r>
    </w:p>
    <w:p w14:paraId="672933AA">
      <w:pPr>
        <w:spacing w:line="360" w:lineRule="auto"/>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17.4</w:t>
      </w:r>
      <w:r>
        <w:rPr>
          <w:rFonts w:hint="eastAsia" w:ascii="宋体" w:hAnsi="宋体" w:cs="宋体"/>
          <w:b/>
          <w:bCs/>
          <w:color w:val="auto"/>
          <w:sz w:val="24"/>
          <w:szCs w:val="24"/>
          <w:highlight w:val="none"/>
        </w:rPr>
        <w:t>供应商机器码一致的，响应无效。</w:t>
      </w:r>
    </w:p>
    <w:p w14:paraId="2462736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联合体投标：如招标(采购)公告中允许联合体投标（响应），联合体的投标(响应)文件制作上传操作如下：</w:t>
      </w:r>
    </w:p>
    <w:p w14:paraId="2A07188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第一步：在投标(响应)文件中上传联合体投标（响应）协议书。</w:t>
      </w:r>
    </w:p>
    <w:p w14:paraId="16555C7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第二步：在投标(响应)文件中，由联合体中的牵头人制作投标(响应)文件。</w:t>
      </w:r>
    </w:p>
    <w:p w14:paraId="336410BD">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17.</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响应文件开启、评标（评审）</w:t>
      </w:r>
    </w:p>
    <w:p w14:paraId="1920F1B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.1线上参加（观看）开标（开启）会方式：登录“苏采云”系统，点击“开标大厅”，选择对应项目，点击进入不见面开标系统。</w:t>
      </w:r>
    </w:p>
    <w:p w14:paraId="1A2CFAC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p>
    <w:p w14:paraId="06CEE96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.3</w:t>
      </w:r>
      <w:r>
        <w:rPr>
          <w:rFonts w:hint="eastAsia" w:ascii="宋体" w:hAnsi="宋体" w:cs="宋体"/>
          <w:b/>
          <w:bCs/>
          <w:color w:val="auto"/>
          <w:sz w:val="24"/>
          <w:szCs w:val="24"/>
          <w:highlight w:val="none"/>
        </w:rPr>
        <w:t>供应商在“苏采云”系统规定的时间内未成功解密电子响应文件的，响应无效</w:t>
      </w:r>
      <w:r>
        <w:rPr>
          <w:rFonts w:hint="eastAsia" w:ascii="宋体" w:hAnsi="宋体" w:cs="宋体"/>
          <w:color w:val="auto"/>
          <w:sz w:val="24"/>
          <w:szCs w:val="24"/>
          <w:highlight w:val="none"/>
        </w:rPr>
        <w:t>。</w:t>
      </w:r>
    </w:p>
    <w:p w14:paraId="7DC983F8">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17.</w:t>
      </w: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响应文件的修改和撤回</w:t>
      </w:r>
    </w:p>
    <w:p w14:paraId="621DA9DB">
      <w:pPr>
        <w:spacing w:line="360" w:lineRule="auto"/>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17.</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p>
    <w:p w14:paraId="05A0C21E">
      <w:pPr>
        <w:tabs>
          <w:tab w:val="left" w:pos="753"/>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18.磋商程序说明</w:t>
      </w:r>
    </w:p>
    <w:p w14:paraId="1CAC6555">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18.1采购代理机构按本须知规定的时间、地点主持磋商采购活动。</w:t>
      </w:r>
    </w:p>
    <w:p w14:paraId="1C59F1A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18.2供应商通过“苏采云”系统在线参与磋商活动。供应商应当按照《苏采云系统供应商操作手册》规定在“苏采云”系统规定的时间内对响应文件进行解密。在磋商响应文件网上递交截止时间止成功解密的</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少于三家，则本次采购失败。</w:t>
      </w:r>
    </w:p>
    <w:p w14:paraId="3C3E9C67">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18.3由磋商小组审查供应商解密的响应文件。</w:t>
      </w:r>
    </w:p>
    <w:p w14:paraId="575643E9">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18.4资格审查</w:t>
      </w:r>
    </w:p>
    <w:p w14:paraId="3C671B6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18.4.1采购项目开标结束后，由磋商小组按采购文件的资格条件进行资格性审查，未通过资格性审查的响应无效。</w:t>
      </w:r>
    </w:p>
    <w:p w14:paraId="2C07975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p>
    <w:p w14:paraId="4F0E7CA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查询时间：响应文件递交截止时间。</w:t>
      </w:r>
    </w:p>
    <w:p w14:paraId="752ED150">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查询渠道：“苏采云”。</w:t>
      </w:r>
    </w:p>
    <w:p w14:paraId="3E888E0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79DD96C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信用记录使用规则：</w:t>
      </w:r>
    </w:p>
    <w:p w14:paraId="63FF6DD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p>
    <w:p w14:paraId="7913D50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（一）政府采购严重违法记录，即供应商被全国各级财政部门列入“政府采购严重违法失信行为记录名单”，且在处罚有效期内的。</w:t>
      </w:r>
    </w:p>
    <w:p w14:paraId="702AE83A">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（二）财政部门与法院、工商、税务等部门联合惩戒的失信信息，包括：</w:t>
      </w:r>
    </w:p>
    <w:p w14:paraId="021FBCD6">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（1）被列入失信被执行人名单；</w:t>
      </w:r>
    </w:p>
    <w:p w14:paraId="0F2D8A5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（2）被列入重大税收违法案件当事人名单；</w:t>
      </w:r>
    </w:p>
    <w:p w14:paraId="62CFD7D5">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68FBCC7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如是接受联合体的项目，两个以上的自然人、法人或者其他组织组成一个联合体，以一个供应商的身份共同参加政府采购活动的，联合体成员其中一名成员存在失信信息的，视同联合体存在失信信息。</w:t>
      </w:r>
    </w:p>
    <w:p w14:paraId="1B3FCF9A">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4C4AE23">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p>
    <w:p w14:paraId="5D89F5BB">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3C54D828">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18.7对于通过资格审查和符合性审查的供应商，磋商小组所有成员集中与单一供应商分别进行磋商，并给予所有参加磋商的供应商平等的磋商机会。</w:t>
      </w:r>
      <w:r>
        <w:rPr>
          <w:rFonts w:hint="eastAsia" w:ascii="宋体" w:hAnsi="宋体" w:cs="宋体"/>
          <w:b/>
          <w:bCs/>
          <w:color w:val="auto"/>
          <w:szCs w:val="24"/>
          <w:highlight w:val="none"/>
        </w:rPr>
        <w:t>磋商小组通过“苏采云”系统向供应商发布“磋商函”，供应商应当按照要求在“苏采云”系统提交“磋商响应函”并加盖CA电子公章。</w:t>
      </w:r>
    </w:p>
    <w:p w14:paraId="57872D59">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50D0D527">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18.9供应商应当按照采购文件的变动情况和磋商小组的要求，各供应商应及时关注【评审】环节等待询标澄清进行回复。</w:t>
      </w:r>
    </w:p>
    <w:p w14:paraId="62E996B1">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18.10磋商结束后，</w:t>
      </w:r>
      <w:r>
        <w:rPr>
          <w:rFonts w:hint="eastAsia" w:ascii="宋体" w:hAnsi="宋体" w:cs="宋体"/>
          <w:b/>
          <w:bCs/>
          <w:color w:val="auto"/>
          <w:szCs w:val="24"/>
          <w:highlight w:val="none"/>
        </w:rPr>
        <w:t>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Cs w:val="24"/>
          <w:highlight w:val="none"/>
        </w:rPr>
        <w:t>。因供应商自身原因导致线上报价失败的后果由供应商自行承担。</w:t>
      </w:r>
      <w:r>
        <w:rPr>
          <w:rStyle w:val="294"/>
          <w:rFonts w:hint="eastAsia" w:ascii="宋体" w:hAnsi="宋体" w:cs="宋体"/>
          <w:color w:val="auto"/>
          <w:szCs w:val="24"/>
          <w:highlight w:val="none"/>
        </w:rPr>
        <w:t>提交最后报价的供应商不得少于3家。</w:t>
      </w:r>
    </w:p>
    <w:p w14:paraId="701DD003">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18.11.政府采购异常低价审查：</w:t>
      </w:r>
    </w:p>
    <w:p w14:paraId="12555FC5">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评审过程中出现下列情形之一的，评审委员会应当启动异常低价投标（响应）审查程序：</w:t>
      </w:r>
    </w:p>
    <w:p w14:paraId="3886C90B">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lang w:val="en-US" w:eastAsia="zh-CN"/>
        </w:rPr>
        <w:t>18.11.1</w:t>
      </w:r>
      <w:r>
        <w:rPr>
          <w:rFonts w:hint="eastAsia" w:ascii="宋体" w:hAnsi="宋体" w:cs="宋体"/>
          <w:color w:val="auto"/>
          <w:szCs w:val="24"/>
          <w:highlight w:val="none"/>
        </w:rPr>
        <w:t>投标（响应）报价低于采购项目预算 50%的，即投标（响应）报价&lt;采购项目预算×50%；</w:t>
      </w:r>
    </w:p>
    <w:p w14:paraId="644E06AD">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lang w:val="en-US" w:eastAsia="zh-CN"/>
        </w:rPr>
        <w:t>18.11.2</w:t>
      </w:r>
      <w:r>
        <w:rPr>
          <w:rFonts w:hint="eastAsia" w:ascii="宋体" w:hAnsi="宋体" w:cs="宋体"/>
          <w:color w:val="auto"/>
          <w:szCs w:val="24"/>
          <w:highlight w:val="none"/>
        </w:rPr>
        <w:t>投标（响应）报价低于采购项目最高限价45% 的，即投 标（响应）报价&lt;采购项目最高限价×45%；</w:t>
      </w:r>
    </w:p>
    <w:p w14:paraId="3E862B32">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lang w:val="en-US" w:eastAsia="zh-CN"/>
        </w:rPr>
        <w:t>18.11.3</w:t>
      </w:r>
      <w:r>
        <w:rPr>
          <w:rFonts w:hint="eastAsia" w:ascii="宋体" w:hAnsi="宋体" w:cs="宋体"/>
          <w:color w:val="auto"/>
          <w:szCs w:val="24"/>
          <w:highlight w:val="none"/>
        </w:rPr>
        <w:t>评审委员会认定的供应商报价过低、有可能影响产品质量或者不能诚信履约的其他情形。</w:t>
      </w:r>
    </w:p>
    <w:p w14:paraId="37B2852A">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 响应）供应商不提供书面说明、证明材料，或者提供的书面说明、证明材料不能证明其报价合理性的，评审委员会应当将其作为无效投标（ 响应）处理。审查相关情况应当在评审报告中进行记录。</w:t>
      </w:r>
    </w:p>
    <w:p w14:paraId="62F7412B">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18.12经磋商确定最终采购需求和提交最后报价的供应商后，由磋商小组采用综合评分法对提交最后报价的供应商的响应文件和最后报价进行综合评分。</w:t>
      </w:r>
    </w:p>
    <w:p w14:paraId="38E6771D">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18.13磋商小组根据磋商成交原则确定成交供应商，并将结果通知所有参加磋商的供应商。</w:t>
      </w:r>
    </w:p>
    <w:p w14:paraId="4C5B687D">
      <w:pPr>
        <w:pStyle w:val="246"/>
        <w:tabs>
          <w:tab w:val="left" w:pos="0"/>
        </w:tabs>
        <w:spacing w:line="360" w:lineRule="auto"/>
        <w:ind w:firstLine="480"/>
        <w:jc w:val="both"/>
        <w:rPr>
          <w:rFonts w:hint="eastAsia" w:ascii="宋体" w:hAnsi="宋体" w:cs="宋体"/>
          <w:color w:val="auto"/>
          <w:szCs w:val="24"/>
          <w:highlight w:val="none"/>
        </w:rPr>
      </w:pPr>
      <w:r>
        <w:rPr>
          <w:rFonts w:hint="eastAsia" w:ascii="宋体" w:hAnsi="宋体" w:cs="宋体"/>
          <w:color w:val="auto"/>
          <w:szCs w:val="24"/>
          <w:highlight w:val="none"/>
        </w:rPr>
        <w:t>18.14如磋商过程中出现本采购文件未尽事宜，由磋商小组根据政府采购有关法律、法规讨论决定。</w:t>
      </w:r>
    </w:p>
    <w:p w14:paraId="795619D0">
      <w:pPr>
        <w:tabs>
          <w:tab w:val="left" w:pos="753"/>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18.15本项目采用线上二次报价：</w:t>
      </w:r>
    </w:p>
    <w:p w14:paraId="35AB051F">
      <w:pPr>
        <w:spacing w:line="360" w:lineRule="auto"/>
        <w:ind w:firstLine="482"/>
        <w:rPr>
          <w:rFonts w:hint="eastAsia" w:ascii="宋体" w:hAnsi="宋体" w:cs="宋体"/>
          <w:b/>
          <w:bCs/>
          <w:color w:val="auto"/>
          <w:sz w:val="24"/>
          <w:szCs w:val="24"/>
          <w:highlight w:val="none"/>
        </w:rPr>
      </w:pPr>
      <w:r>
        <w:rPr>
          <w:rFonts w:hint="eastAsia" w:ascii="宋体" w:hAnsi="宋体" w:cs="宋体"/>
          <w:color w:val="auto"/>
          <w:sz w:val="24"/>
          <w:szCs w:val="24"/>
          <w:highlight w:val="none"/>
        </w:rPr>
        <w:t>登录苏采云系统，评审组长发起最后报价，开标大厅会显示“立即报价”界面，点击【确认报价】提交流程至签章环节，供应商点击签章按钮，签章完成后可进行提交</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p>
    <w:p w14:paraId="0ABD77E7">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进入项目评审流程后，建议各供应商法定代表人或授权委托人始终保持通讯顺畅，时刻关注不见面开标大厅，不离开不见面开标大厅。</w:t>
      </w:r>
    </w:p>
    <w:p w14:paraId="0D0DC1BE">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关于二次报价的具体操作流程，各供应商请详细阅读《操作手册》。</w:t>
      </w:r>
    </w:p>
    <w:p w14:paraId="5D14856D">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19.磋商小组</w:t>
      </w:r>
    </w:p>
    <w:p w14:paraId="18DCD00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19.1采购代理机构负责组织评审工作；磋商小组由相关专家及采购人代表组成，负责具体评审事务，并独立履行法律、法规规定的职责。</w:t>
      </w:r>
    </w:p>
    <w:p w14:paraId="5ECD1383">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19.2采购人员及相关人员与参加采购活动的供应商存在下列利害关系之一的，应当回避:</w:t>
      </w:r>
    </w:p>
    <w:p w14:paraId="165262F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（一）参加采购活动前三年内，与供应商存在劳动关系，或者担任过供应商的董事、监事，或者是供应商的控股股东或实际控制人；</w:t>
      </w:r>
    </w:p>
    <w:p w14:paraId="1F09F06F">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（二）与供应商的法定代表人或者负责人有夫妻、直系血亲、三代以内旁系血亲或者近姻亲关系；</w:t>
      </w:r>
    </w:p>
    <w:p w14:paraId="2EB6338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（三）与供应商有其他可能影响政府采购活动公平、公正进行的关系。</w:t>
      </w:r>
    </w:p>
    <w:p w14:paraId="6960A4D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采购人员及相关人员发现本人与参加采购活动的供应商有利害关系的，应当主动提出回避。采购人或者采购代理机构发现磋商小组与参加采购活动的供应商有利害关系的，应当要求其回避。</w:t>
      </w:r>
    </w:p>
    <w:p w14:paraId="3F4B46D9">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p>
    <w:p w14:paraId="149E59AB">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19.4磋商小组成员应当按照客观、公正、审慎的原则，根据采购文件规定的评审程序、评审方法和评审标准进行独立评审。</w:t>
      </w:r>
    </w:p>
    <w:p w14:paraId="062A1955">
      <w:p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20.项目的终止</w:t>
      </w:r>
    </w:p>
    <w:p w14:paraId="51DB9749">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20.1出现下列情形之一的，将终止竞争性磋商采购活动：</w:t>
      </w:r>
    </w:p>
    <w:p w14:paraId="0D522A5B">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20.1.1因情况变化，不再符合规定的竞争性磋商采购方式适用情形的；</w:t>
      </w:r>
    </w:p>
    <w:p w14:paraId="5B713C30">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20.1.2出现影响采购公正的违法、违规行为的；</w:t>
      </w:r>
    </w:p>
    <w:p w14:paraId="13F51694">
      <w:pPr>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20.1.3在采购过程中符合要求的供应商或者报价未超过采购预算的供应商不足3家的；</w:t>
      </w:r>
    </w:p>
    <w:p w14:paraId="571C2C5A">
      <w:pPr>
        <w:tabs>
          <w:tab w:val="left" w:pos="753"/>
        </w:tabs>
        <w:spacing w:line="360" w:lineRule="auto"/>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20.1.4在采购活动中因重大变故，采购任务取消的。</w:t>
      </w:r>
    </w:p>
    <w:p w14:paraId="0D5D88B2">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21.评审内容的保密</w:t>
      </w:r>
    </w:p>
    <w:p w14:paraId="0BA40442">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21.1磋商开始后，直到宣布授予成交单位合同为止，凡属于审查、澄清、评价和比较磋商响应文件的所有资料，有关授予合同的信息都不应向</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或与评审无关的其他人泄露。</w:t>
      </w:r>
    </w:p>
    <w:p w14:paraId="3AC76D47">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21.2在磋商响应文件的审查、澄清、评价和比较以及授予合同的过程中，</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对采购单位和磋商小组施加影响的任何行为，都将取消其成交资格。</w:t>
      </w:r>
    </w:p>
    <w:p w14:paraId="7B038E3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21.3在评审期间，采购单位将通过指定联络人与</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进行联系。</w:t>
      </w:r>
    </w:p>
    <w:p w14:paraId="69D26FDB">
      <w:pPr>
        <w:spacing w:line="360" w:lineRule="auto"/>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22.磋商说明</w:t>
      </w:r>
    </w:p>
    <w:p w14:paraId="0F978A27">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22.1</w:t>
      </w:r>
      <w:r>
        <w:rPr>
          <w:rFonts w:hint="eastAsia" w:ascii="宋体" w:hAnsi="宋体"/>
          <w:color w:val="auto"/>
          <w:sz w:val="24"/>
          <w:szCs w:val="24"/>
          <w:highlight w:val="none"/>
        </w:rPr>
        <w:t>不符合供应商资格要求的响应文件将被拒绝；</w:t>
      </w:r>
    </w:p>
    <w:p w14:paraId="12A50D4E">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22.2</w:t>
      </w:r>
      <w:r>
        <w:rPr>
          <w:rFonts w:hint="eastAsia" w:ascii="宋体" w:hAnsi="宋体"/>
          <w:color w:val="auto"/>
          <w:sz w:val="24"/>
          <w:szCs w:val="24"/>
          <w:highlight w:val="none"/>
        </w:rPr>
        <w:t>响应文件签署不符合要求的，响应文件将被拒绝；</w:t>
      </w:r>
    </w:p>
    <w:p w14:paraId="7E0F65A8">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22.3</w:t>
      </w:r>
      <w:r>
        <w:rPr>
          <w:rFonts w:hint="eastAsia" w:ascii="宋体" w:hAnsi="宋体"/>
          <w:color w:val="auto"/>
          <w:sz w:val="24"/>
          <w:szCs w:val="24"/>
          <w:highlight w:val="none"/>
        </w:rPr>
        <w:t>任意一次磋商报价超过采购预算的，不能成交；</w:t>
      </w:r>
    </w:p>
    <w:p w14:paraId="38F04264">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22.4</w:t>
      </w:r>
      <w:r>
        <w:rPr>
          <w:rFonts w:hint="eastAsia" w:ascii="宋体" w:hAnsi="宋体"/>
          <w:color w:val="auto"/>
          <w:sz w:val="24"/>
          <w:szCs w:val="24"/>
          <w:highlight w:val="none"/>
        </w:rPr>
        <w:t>不实质性响应采购文件的不能成交；</w:t>
      </w:r>
    </w:p>
    <w:p w14:paraId="7F6F6F4E">
      <w:pPr>
        <w:spacing w:line="360"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22.5</w:t>
      </w:r>
      <w:r>
        <w:rPr>
          <w:rFonts w:ascii="宋体" w:hAnsi="宋体"/>
          <w:bCs/>
          <w:color w:val="auto"/>
          <w:sz w:val="24"/>
          <w:szCs w:val="24"/>
          <w:highlight w:val="none"/>
        </w:rPr>
        <w:t>在采购过程中符合要求的供应商或者报价未超过采购预算的供应商不足</w:t>
      </w:r>
      <w:r>
        <w:rPr>
          <w:rFonts w:hint="eastAsia" w:ascii="宋体" w:hAnsi="宋体"/>
          <w:bCs/>
          <w:color w:val="auto"/>
          <w:sz w:val="24"/>
          <w:szCs w:val="24"/>
          <w:highlight w:val="none"/>
        </w:rPr>
        <w:t>3</w:t>
      </w:r>
      <w:r>
        <w:rPr>
          <w:rFonts w:ascii="宋体" w:hAnsi="宋体"/>
          <w:bCs/>
          <w:color w:val="auto"/>
          <w:sz w:val="24"/>
          <w:szCs w:val="24"/>
          <w:highlight w:val="none"/>
        </w:rPr>
        <w:t>家的；</w:t>
      </w:r>
    </w:p>
    <w:p w14:paraId="50775206">
      <w:pPr>
        <w:tabs>
          <w:tab w:val="left" w:pos="8930"/>
          <w:tab w:val="left" w:pos="9306"/>
        </w:tabs>
        <w:spacing w:line="360" w:lineRule="auto"/>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22.6供应商根据磋商情况进行承诺说明并填写承诺函、填写最后报价（未填写单价的，</w:t>
      </w:r>
      <w:r>
        <w:rPr>
          <w:rFonts w:hint="eastAsia" w:ascii="宋体" w:hAnsi="宋体"/>
          <w:color w:val="auto"/>
          <w:sz w:val="24"/>
          <w:szCs w:val="24"/>
          <w:highlight w:val="none"/>
        </w:rPr>
        <w:t>最终</w:t>
      </w:r>
      <w:r>
        <w:rPr>
          <w:rFonts w:hint="eastAsia" w:ascii="宋体" w:hAnsi="宋体" w:cs="宋体"/>
          <w:color w:val="auto"/>
          <w:sz w:val="24"/>
          <w:szCs w:val="24"/>
          <w:highlight w:val="none"/>
        </w:rPr>
        <w:t>合同单价按最后报价比第一次报价同比例下（上）浮）。</w:t>
      </w:r>
    </w:p>
    <w:p w14:paraId="6AC330A8">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23.成交单位的确认</w:t>
      </w:r>
    </w:p>
    <w:p w14:paraId="2ECB1FBF">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23.1磋商小组根据</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资格审查情况，对其响应文件进行评价和比较，按照评审办法和标准进行评审，并按采购单位的委托向采购单位推荐成交候选单位。</w:t>
      </w:r>
    </w:p>
    <w:p w14:paraId="723A23D0">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23.2经磋商小组评审并确定成交单位后，采购单位将在规定的时间内将成交结果在相关媒体上予以公告。各参加</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如对公告结果有异议，应在成交结果公告期满后七个工作日内，以书面形式向采购单位提出质疑，同时该质疑应有</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法定代表人或参加磋商的代理人签署。采购单位将在收到经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法定代表人或参加响应供应商的代理人签署的书面质疑后七个工作日内，对质疑内容作出答复。如</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未在成交结果公告期满后七个工作日内向磋商采购单位提出质疑或质疑未经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法定代表人或参加磋商的代理人签署，采购单位有权对该质疑不予答复。</w:t>
      </w:r>
    </w:p>
    <w:p w14:paraId="6FA528B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23.3</w:t>
      </w:r>
      <w:r>
        <w:rPr>
          <w:rFonts w:hint="eastAsia" w:ascii="宋体" w:hAnsi="宋体" w:cs="宋体"/>
          <w:bCs/>
          <w:color w:val="auto"/>
          <w:sz w:val="24"/>
          <w:szCs w:val="24"/>
          <w:highlight w:val="none"/>
        </w:rPr>
        <w:t>由采购人授权评审委员会在候选供应商名单中直接确定成交供应商。</w:t>
      </w:r>
    </w:p>
    <w:p w14:paraId="0205CC5A">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23.4如因质疑或投诉改变成交结果的，则采购人可以按照评审报告推荐的成交候选人名单排序，确定下一候选人为成交人或者重新开展政府采购活动。</w:t>
      </w:r>
    </w:p>
    <w:p w14:paraId="192081D5">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24.合同授予标准</w:t>
      </w:r>
    </w:p>
    <w:p w14:paraId="5E55B203">
      <w:pPr>
        <w:tabs>
          <w:tab w:val="left" w:pos="8930"/>
          <w:tab w:val="left" w:pos="9306"/>
        </w:tabs>
        <w:spacing w:line="360" w:lineRule="auto"/>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24.1采购单位将把合同授予其磋商响应文件在实质上响应采购文件要求和按本须知规定评选出的供应商。确定为成交的供应商必须具有实施本合同的能力和资源。</w:t>
      </w:r>
    </w:p>
    <w:p w14:paraId="51E556DB">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25.成交通知书</w:t>
      </w:r>
    </w:p>
    <w:p w14:paraId="0E287CA4">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25.1采购人或采购代理机构根据相关规定发布成交公告，成交公告发出的同时应当向成交供应商发出《成交通知书》</w:t>
      </w:r>
      <w:bookmarkStart w:id="33" w:name="_Hlk132385599"/>
      <w:bookmarkStart w:id="34" w:name="_Hlk132385577"/>
      <w:bookmarkStart w:id="35" w:name="_Hlk132389804"/>
      <w:r>
        <w:rPr>
          <w:rFonts w:hint="eastAsia" w:ascii="宋体" w:hAnsi="宋体" w:cs="宋体"/>
          <w:color w:val="auto"/>
          <w:sz w:val="24"/>
          <w:szCs w:val="24"/>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3"/>
      <w:bookmarkEnd w:id="34"/>
      <w:bookmarkEnd w:id="35"/>
      <w:r>
        <w:rPr>
          <w:rFonts w:hint="eastAsia" w:ascii="宋体" w:hAnsi="宋体" w:cs="宋体"/>
          <w:color w:val="auto"/>
          <w:sz w:val="24"/>
          <w:szCs w:val="24"/>
          <w:highlight w:val="none"/>
        </w:rPr>
        <w:t>。</w:t>
      </w:r>
    </w:p>
    <w:p w14:paraId="1201B82B">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25.2成交通知书发出后，采购人不得违法改变成交结果，成交供应商无正当理由不得放弃成交。</w:t>
      </w:r>
    </w:p>
    <w:p w14:paraId="3DEE687B">
      <w:pPr>
        <w:tabs>
          <w:tab w:val="left" w:pos="8930"/>
          <w:tab w:val="left" w:pos="9306"/>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26.成交服务费</w:t>
      </w:r>
    </w:p>
    <w:p w14:paraId="4DA0E12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26.1成交单位须按以下的规定按其预算金额计算并支付服务费，该费用应在领取成交通知书时</w:t>
      </w:r>
      <w:r>
        <w:rPr>
          <w:rFonts w:hint="eastAsia" w:ascii="宋体" w:hAnsi="宋体" w:cs="宋体"/>
          <w:color w:val="auto"/>
          <w:sz w:val="24"/>
          <w:szCs w:val="24"/>
          <w:highlight w:val="none"/>
          <w:lang w:val="zh-CN"/>
        </w:rPr>
        <w:t>一次性</w:t>
      </w:r>
      <w:r>
        <w:rPr>
          <w:rFonts w:hint="eastAsia" w:ascii="宋体" w:hAnsi="宋体" w:cs="宋体"/>
          <w:color w:val="auto"/>
          <w:sz w:val="24"/>
          <w:szCs w:val="24"/>
          <w:highlight w:val="none"/>
        </w:rPr>
        <w:t>付清：</w:t>
      </w:r>
    </w:p>
    <w:p w14:paraId="7E11BB3A">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以项目预算金额作为招标代理服务费的计算基数,按照以下差额定率累进法计算方法确定政府采购代理服务费金额：</w:t>
      </w:r>
    </w:p>
    <w:p w14:paraId="429F3532">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预算金额：100万元以下部分按预算金额的1.5%收取；</w:t>
      </w:r>
    </w:p>
    <w:p w14:paraId="56F06347">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预算金额：100 万元（含）~500万元以下部分按预算金额的1.1%收取；</w:t>
      </w:r>
    </w:p>
    <w:p w14:paraId="739D5624">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预算金额：500万元（含）~1000万元以下部分按预算金额的0.8%收取；</w:t>
      </w:r>
    </w:p>
    <w:p w14:paraId="26E3B751">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预算金额：1000万元（含）~5000万元以下部分按预算金额的0.5%收取；</w:t>
      </w:r>
    </w:p>
    <w:p w14:paraId="0B64AE18">
      <w:pPr>
        <w:spacing w:line="360" w:lineRule="auto"/>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预算金额：5000万元（含）以上部分按预算金额的0.25%收取；领取成交通知书时向</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lang w:val="zh-CN"/>
        </w:rPr>
        <w:t>代理机构一次性付清。</w:t>
      </w:r>
    </w:p>
    <w:p w14:paraId="4588E46C">
      <w:pPr>
        <w:tabs>
          <w:tab w:val="left" w:pos="8930"/>
          <w:tab w:val="left" w:pos="9306"/>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本项目成交服务费为人民币</w:t>
      </w:r>
      <w:r>
        <w:rPr>
          <w:rFonts w:hint="eastAsia" w:ascii="宋体" w:hAnsi="宋体" w:cs="宋体"/>
          <w:color w:val="auto"/>
          <w:sz w:val="24"/>
          <w:szCs w:val="24"/>
          <w:highlight w:val="none"/>
          <w:lang w:val="en-US" w:eastAsia="zh-CN"/>
        </w:rPr>
        <w:t>叁万贰仟肆佰叁拾叁元整</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32433.00</w:t>
      </w:r>
      <w:r>
        <w:rPr>
          <w:rFonts w:hint="eastAsia" w:ascii="宋体" w:hAnsi="宋体" w:cs="宋体"/>
          <w:color w:val="auto"/>
          <w:sz w:val="24"/>
          <w:szCs w:val="24"/>
          <w:highlight w:val="none"/>
        </w:rPr>
        <w:t>）。</w:t>
      </w:r>
    </w:p>
    <w:p w14:paraId="7C6CB46E">
      <w:pPr>
        <w:tabs>
          <w:tab w:val="left" w:pos="8930"/>
          <w:tab w:val="left" w:pos="9306"/>
        </w:tabs>
        <w:spacing w:line="360" w:lineRule="auto"/>
        <w:ind w:firstLine="482"/>
        <w:rPr>
          <w:rFonts w:hint="eastAsia" w:ascii="宋体" w:hAnsi="宋体" w:cs="宋体"/>
          <w:color w:val="auto"/>
          <w:sz w:val="24"/>
          <w:szCs w:val="24"/>
          <w:highlight w:val="none"/>
        </w:rPr>
      </w:pPr>
      <w:r>
        <w:rPr>
          <w:rFonts w:hint="eastAsia" w:ascii="宋体" w:hAnsi="宋体" w:cs="宋体"/>
          <w:b/>
          <w:color w:val="auto"/>
          <w:sz w:val="24"/>
          <w:szCs w:val="24"/>
          <w:highlight w:val="none"/>
        </w:rPr>
        <w:t>27.未尽事宜：</w:t>
      </w:r>
      <w:r>
        <w:rPr>
          <w:rFonts w:hint="eastAsia" w:ascii="宋体" w:hAnsi="宋体" w:cs="宋体"/>
          <w:color w:val="auto"/>
          <w:sz w:val="24"/>
          <w:szCs w:val="24"/>
          <w:highlight w:val="none"/>
        </w:rPr>
        <w:t>按《中华人民共和国政府采购法》及其他有关的法律法规的规定执行。</w:t>
      </w:r>
    </w:p>
    <w:p w14:paraId="301D77FE">
      <w:pPr>
        <w:tabs>
          <w:tab w:val="left" w:pos="8930"/>
          <w:tab w:val="left" w:pos="9306"/>
        </w:tabs>
        <w:spacing w:line="360" w:lineRule="auto"/>
        <w:jc w:val="center"/>
        <w:outlineLvl w:val="0"/>
        <w:rPr>
          <w:rFonts w:hint="eastAsia" w:ascii="宋体" w:hAnsi="宋体" w:cs="宋体"/>
          <w:b/>
          <w:bCs/>
          <w:color w:val="auto"/>
          <w:sz w:val="48"/>
          <w:szCs w:val="48"/>
          <w:highlight w:val="none"/>
        </w:rPr>
      </w:pPr>
      <w:r>
        <w:rPr>
          <w:rFonts w:hint="eastAsia" w:ascii="宋体" w:hAnsi="宋体" w:cs="宋体"/>
          <w:color w:val="auto"/>
          <w:szCs w:val="21"/>
          <w:highlight w:val="none"/>
        </w:rPr>
        <w:br w:type="page" w:clear="all"/>
      </w:r>
      <w:bookmarkStart w:id="36" w:name="_Toc8141"/>
      <w:r>
        <w:rPr>
          <w:rFonts w:hint="eastAsia" w:ascii="宋体" w:hAnsi="宋体" w:cs="宋体"/>
          <w:b/>
          <w:bCs/>
          <w:color w:val="auto"/>
          <w:sz w:val="48"/>
          <w:szCs w:val="48"/>
          <w:highlight w:val="none"/>
        </w:rPr>
        <w:t>第三章 磋商响应文件格式</w:t>
      </w:r>
      <w:bookmarkEnd w:id="36"/>
    </w:p>
    <w:p w14:paraId="6589FBE4">
      <w:pPr>
        <w:spacing w:line="360" w:lineRule="auto"/>
        <w:jc w:val="left"/>
        <w:rPr>
          <w:rFonts w:hint="eastAsia" w:ascii="宋体" w:hAnsi="宋体" w:cs="宋体"/>
          <w:color w:val="auto"/>
          <w:szCs w:val="21"/>
          <w:highlight w:val="none"/>
        </w:rPr>
      </w:pPr>
    </w:p>
    <w:p w14:paraId="4D1591A5">
      <w:pPr>
        <w:spacing w:line="360" w:lineRule="auto"/>
        <w:jc w:val="left"/>
        <w:rPr>
          <w:rFonts w:hint="eastAsia" w:ascii="宋体" w:hAnsi="宋体" w:cs="宋体"/>
          <w:color w:val="auto"/>
          <w:szCs w:val="21"/>
          <w:highlight w:val="none"/>
        </w:rPr>
      </w:pPr>
    </w:p>
    <w:p w14:paraId="27730516">
      <w:pPr>
        <w:spacing w:line="360" w:lineRule="auto"/>
        <w:jc w:val="left"/>
        <w:rPr>
          <w:rFonts w:hint="eastAsia" w:ascii="宋体" w:hAnsi="宋体" w:cs="宋体"/>
          <w:color w:val="auto"/>
          <w:szCs w:val="21"/>
          <w:highlight w:val="none"/>
        </w:rPr>
      </w:pPr>
    </w:p>
    <w:p w14:paraId="5B989DEB">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说明：</w:t>
      </w:r>
    </w:p>
    <w:p w14:paraId="700AD0B9">
      <w:pPr>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对本章所有的格式，</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可根据自身情况进行补充和修改，但补充和修改不得造成与本格式内容有实质性的违背。</w:t>
      </w:r>
    </w:p>
    <w:p w14:paraId="67FF51E9">
      <w:pPr>
        <w:spacing w:line="360" w:lineRule="auto"/>
        <w:jc w:val="left"/>
        <w:rPr>
          <w:rFonts w:hint="eastAsia" w:ascii="宋体" w:hAnsi="宋体" w:cs="宋体"/>
          <w:b/>
          <w:color w:val="auto"/>
          <w:szCs w:val="21"/>
          <w:highlight w:val="none"/>
        </w:rPr>
      </w:pPr>
    </w:p>
    <w:p w14:paraId="0B863060">
      <w:pPr>
        <w:spacing w:line="360" w:lineRule="auto"/>
        <w:jc w:val="left"/>
        <w:outlineLvl w:val="1"/>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szCs w:val="24"/>
          <w:highlight w:val="none"/>
        </w:rPr>
        <w:t>1、（供应商）法定代表人授权委托书</w:t>
      </w:r>
    </w:p>
    <w:p w14:paraId="005F9AB6">
      <w:pPr>
        <w:spacing w:line="360" w:lineRule="auto"/>
        <w:rPr>
          <w:rFonts w:hint="eastAsia" w:ascii="宋体" w:hAnsi="宋体" w:cs="宋体"/>
          <w:b/>
          <w:bCs/>
          <w:color w:val="auto"/>
          <w:sz w:val="24"/>
          <w:szCs w:val="24"/>
          <w:highlight w:val="none"/>
        </w:rPr>
      </w:pPr>
    </w:p>
    <w:p w14:paraId="75356B79">
      <w:pPr>
        <w:spacing w:line="360" w:lineRule="auto"/>
        <w:jc w:val="center"/>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授权委托书</w:t>
      </w:r>
    </w:p>
    <w:p w14:paraId="4DB48DF4">
      <w:pPr>
        <w:spacing w:line="360" w:lineRule="auto"/>
        <w:ind w:firstLine="420"/>
        <w:jc w:val="left"/>
        <w:rPr>
          <w:rFonts w:hint="eastAsia" w:ascii="宋体" w:hAnsi="宋体" w:cs="宋体"/>
          <w:color w:val="auto"/>
          <w:sz w:val="24"/>
          <w:szCs w:val="24"/>
          <w:highlight w:val="none"/>
        </w:rPr>
      </w:pPr>
    </w:p>
    <w:p w14:paraId="54FFAC89">
      <w:pPr>
        <w:spacing w:line="360" w:lineRule="auto"/>
        <w:ind w:firstLine="525"/>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本授权委托书声明：我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（供应商名称）的法定代表人，现授权委托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（单位名称）的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（姓名）为我公司代理人，以本公司的名义参加</w:t>
      </w:r>
      <w:r>
        <w:rPr>
          <w:rFonts w:hint="eastAsia" w:ascii="宋体" w:hAnsi="宋体" w:cs="宋体"/>
          <w:color w:val="auto"/>
          <w:sz w:val="24"/>
          <w:szCs w:val="24"/>
          <w:highlight w:val="none"/>
          <w:lang w:eastAsia="zh-CN"/>
        </w:rPr>
        <w:t>苏州市诚捷项目管理有限公司</w:t>
      </w:r>
      <w:r>
        <w:rPr>
          <w:rFonts w:hint="eastAsia" w:ascii="宋体" w:hAnsi="宋体" w:cs="宋体"/>
          <w:color w:val="auto"/>
          <w:sz w:val="24"/>
          <w:szCs w:val="24"/>
          <w:highlight w:val="none"/>
        </w:rPr>
        <w:t>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JSZC-320505-CJZT-C2025-0015</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的磋商邀请活动。代理人在磋商活动过程中所签署的一切文件和处理与这有关的一切事务，我均予以承认。代理人在授权委托书有效期内签署的所有文件不因授权委托的撤销而失效，除非有撤销授权委托的书面通知，本授权委托书自磋商活动开始至合同履行完毕止。</w:t>
      </w:r>
    </w:p>
    <w:p w14:paraId="75F7FBD7">
      <w:pPr>
        <w:spacing w:line="360" w:lineRule="auto"/>
        <w:ind w:firstLine="525"/>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代理人无转委托权。特此委托。</w:t>
      </w:r>
    </w:p>
    <w:p w14:paraId="25C1CAD1">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754BCABB">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51BC81EF">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法定代表人：（签字或盖章）</w:t>
      </w:r>
    </w:p>
    <w:p w14:paraId="2E7A4008">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授权代理人：（签字或盖章）</w:t>
      </w:r>
    </w:p>
    <w:p w14:paraId="6E736230">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日期：      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1AEC4911">
      <w:pPr>
        <w:spacing w:line="360" w:lineRule="auto"/>
        <w:ind w:firstLine="420"/>
        <w:jc w:val="left"/>
        <w:rPr>
          <w:rFonts w:hint="eastAsia" w:ascii="宋体" w:hAnsi="宋体" w:cs="宋体"/>
          <w:color w:val="auto"/>
          <w:szCs w:val="21"/>
          <w:highlight w:val="none"/>
        </w:rPr>
      </w:pPr>
    </w:p>
    <w:p w14:paraId="18561A51">
      <w:pPr>
        <w:spacing w:line="360" w:lineRule="auto"/>
        <w:ind w:firstLine="420"/>
        <w:jc w:val="left"/>
        <w:rPr>
          <w:rFonts w:hint="eastAsia" w:ascii="宋体" w:hAnsi="宋体" w:cs="宋体"/>
          <w:color w:val="auto"/>
          <w:sz w:val="24"/>
          <w:szCs w:val="24"/>
          <w:highlight w:val="none"/>
        </w:rPr>
      </w:pPr>
    </w:p>
    <w:p w14:paraId="6C04CD81">
      <w:pPr>
        <w:spacing w:line="360" w:lineRule="auto"/>
        <w:ind w:firstLine="420"/>
        <w:jc w:val="left"/>
        <w:rPr>
          <w:rFonts w:hint="eastAsia" w:ascii="宋体" w:hAnsi="宋体" w:cs="宋体"/>
          <w:color w:val="auto"/>
          <w:sz w:val="24"/>
          <w:szCs w:val="24"/>
          <w:highlight w:val="none"/>
        </w:rPr>
      </w:pPr>
    </w:p>
    <w:p w14:paraId="084A75D3">
      <w:pPr>
        <w:spacing w:line="360" w:lineRule="auto"/>
        <w:ind w:firstLine="420"/>
        <w:jc w:val="left"/>
        <w:rPr>
          <w:rFonts w:hint="eastAsia" w:ascii="宋体" w:hAnsi="宋体" w:cs="宋体"/>
          <w:color w:val="auto"/>
          <w:sz w:val="24"/>
          <w:szCs w:val="24"/>
          <w:highlight w:val="none"/>
        </w:rPr>
      </w:pPr>
    </w:p>
    <w:p w14:paraId="30297A8A">
      <w:pPr>
        <w:spacing w:line="360" w:lineRule="auto"/>
        <w:ind w:firstLine="420"/>
        <w:jc w:val="left"/>
        <w:rPr>
          <w:rFonts w:hint="eastAsia" w:ascii="宋体" w:hAnsi="宋体" w:cs="宋体"/>
          <w:color w:val="auto"/>
          <w:sz w:val="24"/>
          <w:szCs w:val="24"/>
          <w:highlight w:val="none"/>
        </w:rPr>
      </w:pPr>
    </w:p>
    <w:p w14:paraId="23EC769A">
      <w:pPr>
        <w:spacing w:line="360" w:lineRule="auto"/>
        <w:ind w:firstLine="420"/>
        <w:jc w:val="left"/>
        <w:rPr>
          <w:rFonts w:hint="eastAsia" w:ascii="宋体" w:hAnsi="宋体" w:cs="宋体"/>
          <w:color w:val="auto"/>
          <w:sz w:val="24"/>
          <w:szCs w:val="24"/>
          <w:highlight w:val="none"/>
        </w:rPr>
      </w:pPr>
    </w:p>
    <w:p w14:paraId="4B47EA53">
      <w:pPr>
        <w:spacing w:line="360" w:lineRule="auto"/>
        <w:rPr>
          <w:rFonts w:hint="eastAsia" w:ascii="宋体" w:hAnsi="宋体" w:cs="宋体"/>
          <w:color w:val="auto"/>
          <w:szCs w:val="24"/>
          <w:highlight w:val="none"/>
        </w:rPr>
      </w:pPr>
    </w:p>
    <w:p w14:paraId="71DC6623">
      <w:pPr>
        <w:spacing w:line="360" w:lineRule="auto"/>
        <w:jc w:val="left"/>
        <w:outlineLvl w:val="1"/>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rPr>
        <w:t>2、磋商响应函</w:t>
      </w:r>
    </w:p>
    <w:p w14:paraId="29FD36A7">
      <w:pPr>
        <w:spacing w:line="360" w:lineRule="auto"/>
        <w:ind w:firstLine="420"/>
        <w:jc w:val="center"/>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磋商响应函</w:t>
      </w:r>
    </w:p>
    <w:p w14:paraId="21538470">
      <w:pPr>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04DC5DA5">
      <w:pPr>
        <w:ind w:firstLine="42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我们收到贵公司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号磋商邀请函，经仔细阅读和研究，我们决定参加该次磋商活动。</w:t>
      </w:r>
      <w:r>
        <w:rPr>
          <w:rFonts w:hint="eastAsia" w:ascii="宋体" w:hAnsi="宋体" w:cs="宋体"/>
          <w:color w:val="auto"/>
          <w:sz w:val="24"/>
          <w:szCs w:val="24"/>
          <w:highlight w:val="none"/>
          <w:lang w:val="zh-CN"/>
        </w:rPr>
        <w:t>并向贵公司承诺：</w:t>
      </w:r>
    </w:p>
    <w:p w14:paraId="68528F8D">
      <w:pPr>
        <w:ind w:firstLine="42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1、我方愿意按</w:t>
      </w:r>
      <w:r>
        <w:rPr>
          <w:rStyle w:val="294"/>
          <w:rFonts w:hint="eastAsia" w:hAnsi="宋体" w:cs="宋体"/>
          <w:color w:val="auto"/>
          <w:sz w:val="24"/>
          <w:szCs w:val="24"/>
          <w:highlight w:val="none"/>
        </w:rPr>
        <w:t>按照采购文件</w:t>
      </w:r>
      <w:r>
        <w:rPr>
          <w:rFonts w:hint="eastAsia" w:ascii="宋体" w:hAnsi="宋体" w:cs="宋体"/>
          <w:color w:val="auto"/>
          <w:sz w:val="24"/>
          <w:szCs w:val="24"/>
          <w:highlight w:val="none"/>
        </w:rPr>
        <w:t>提供满足采购文件全部要求的服务工作，提供采购文件要求的所有资料，响应总报价包括完成全部服务所需的食材、配料、易耗品、通讯、服装、胸卡、办公设备、各类工具及其他费用、各种税费、人工、保险、劳保、维护、利润、税金、代理服务费、政策性文件规定及合同包含的所有风险、责任等各项应有费用。</w:t>
      </w:r>
    </w:p>
    <w:p w14:paraId="152701D1">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2、如果我们的磋商响应文件被接受，我们将严格履行采购文件中规定的每一项要求，按期、按质、按量履行合同的义务。</w:t>
      </w:r>
    </w:p>
    <w:p w14:paraId="51EF90BD">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3、我们已详细审查全部采购文件，包括更正公告(如有)。我们完全理解并同意放弃对这方面有不明及误解的权力。</w:t>
      </w:r>
    </w:p>
    <w:p w14:paraId="4A8CF22B">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4、我们同意按采购文件中的规定，本磋商响应文件的有效期限为响应文件提交截止之日起90天。</w:t>
      </w:r>
    </w:p>
    <w:p w14:paraId="32B680BC">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5、我们愿意提供磋商采购单位在采购文件中要求的所有资料。</w:t>
      </w:r>
    </w:p>
    <w:p w14:paraId="6744B489">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6、我们愿意遵守采购文件中所列的收费标准。</w:t>
      </w:r>
    </w:p>
    <w:p w14:paraId="423C46CD">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7、我们承诺该磋商响应文件在磋商开始后的全过程中保持有效，不作任何更改和变动。</w:t>
      </w:r>
    </w:p>
    <w:p w14:paraId="6A982AA5">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8、我们承诺我公司符合采购文件中“合格</w:t>
      </w:r>
      <w:r>
        <w:rPr>
          <w:rStyle w:val="294"/>
          <w:rFonts w:hint="eastAsia" w:hAnsi="宋体" w:cs="宋体"/>
          <w:color w:val="auto"/>
          <w:sz w:val="24"/>
          <w:szCs w:val="24"/>
          <w:highlight w:val="none"/>
          <w:lang w:eastAsia="zh-CN"/>
        </w:rPr>
        <w:t>供应商</w:t>
      </w:r>
      <w:r>
        <w:rPr>
          <w:rStyle w:val="294"/>
          <w:rFonts w:hint="eastAsia" w:hAnsi="宋体" w:cs="宋体"/>
          <w:color w:val="auto"/>
          <w:sz w:val="24"/>
          <w:szCs w:val="24"/>
          <w:highlight w:val="none"/>
        </w:rPr>
        <w:t>的一般条件和特殊条件”的要求，若与真实情况不符，本公司愿意承担由此而产生的一切后果。</w:t>
      </w:r>
    </w:p>
    <w:p w14:paraId="34388627">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9、我们声明：我们在参加本次政府采购活动前3年内在经营活动中没有重大违法记录。</w:t>
      </w:r>
    </w:p>
    <w:p w14:paraId="78E53FCF">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10、如果我们成交，我们愿意按采购文件的规定支付代理服务费。</w:t>
      </w:r>
    </w:p>
    <w:p w14:paraId="506856D1">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11、综合说明：</w:t>
      </w:r>
    </w:p>
    <w:p w14:paraId="72A9AA87">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（1）伴随服务及配合措施；（2）要求甲方提供的配合；（3）对采购文件有不同意见的偏离说明；（4）其它说明。</w:t>
      </w:r>
    </w:p>
    <w:p w14:paraId="2BD36816">
      <w:pPr>
        <w:pStyle w:val="295"/>
        <w:ind w:firstLine="480"/>
        <w:rPr>
          <w:rStyle w:val="294"/>
          <w:rFonts w:hint="eastAsia" w:hAnsi="宋体" w:cs="宋体"/>
          <w:color w:val="auto"/>
          <w:sz w:val="24"/>
          <w:szCs w:val="24"/>
          <w:highlight w:val="none"/>
        </w:rPr>
      </w:pPr>
      <w:r>
        <w:rPr>
          <w:rStyle w:val="294"/>
          <w:rFonts w:hint="eastAsia" w:hAnsi="宋体" w:cs="宋体"/>
          <w:color w:val="auto"/>
          <w:sz w:val="24"/>
          <w:szCs w:val="24"/>
          <w:highlight w:val="none"/>
        </w:rPr>
        <w:t>所有有关磋商响应文件的函电，请按下列地址联系：</w:t>
      </w:r>
    </w:p>
    <w:p w14:paraId="44468541">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单位：</w:t>
      </w:r>
    </w:p>
    <w:p w14:paraId="3F55E474">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p w14:paraId="72294BE8">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p w14:paraId="4231CF26">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p>
    <w:p w14:paraId="2036BE27">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p w14:paraId="501058B9">
      <w:pPr>
        <w:ind w:firstLine="48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p w14:paraId="176A07EB">
      <w:pPr>
        <w:spacing w:line="360" w:lineRule="auto"/>
        <w:jc w:val="left"/>
        <w:rPr>
          <w:rFonts w:hint="eastAsia" w:ascii="宋体" w:hAnsi="宋体" w:cs="宋体"/>
          <w:color w:val="auto"/>
          <w:sz w:val="24"/>
          <w:szCs w:val="24"/>
          <w:highlight w:val="none"/>
        </w:rPr>
      </w:pPr>
    </w:p>
    <w:p w14:paraId="4EE19B11">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76404538">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1AA77499">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44743D0C">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3D2A3DF7">
      <w:pPr>
        <w:spacing w:line="360" w:lineRule="auto"/>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、开标一览表（第一次）</w:t>
      </w:r>
    </w:p>
    <w:p w14:paraId="60BE238D">
      <w:pPr>
        <w:widowControl/>
        <w:spacing w:before="75" w:beforeAutospacing="0" w:after="75" w:afterAutospacing="0" w:line="495" w:lineRule="atLeast"/>
        <w:jc w:val="center"/>
        <w:rPr>
          <w:rFonts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开标一览表（总报价）</w:t>
      </w:r>
    </w:p>
    <w:p w14:paraId="5CD1909B">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p>
    <w:p w14:paraId="65C33989">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项目名称：          </w:t>
      </w:r>
    </w:p>
    <w:p w14:paraId="4FF5A547">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采购编号：</w:t>
      </w:r>
    </w:p>
    <w:p w14:paraId="0E2DAF2E">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p>
    <w:tbl>
      <w:tblPr>
        <w:tblStyle w:val="38"/>
        <w:tblW w:w="8305" w:type="dxa"/>
        <w:jc w:val="center"/>
        <w:tblLayout w:type="fixed"/>
        <w:tblCellMar>
          <w:top w:w="0" w:type="dxa"/>
          <w:left w:w="108" w:type="dxa"/>
          <w:bottom w:w="0" w:type="dxa"/>
          <w:right w:w="108" w:type="dxa"/>
        </w:tblCellMar>
      </w:tblPr>
      <w:tblGrid>
        <w:gridCol w:w="3496"/>
        <w:gridCol w:w="4809"/>
      </w:tblGrid>
      <w:tr w14:paraId="358D3856">
        <w:tblPrEx>
          <w:tblCellMar>
            <w:top w:w="0" w:type="dxa"/>
            <w:left w:w="108" w:type="dxa"/>
            <w:bottom w:w="0" w:type="dxa"/>
            <w:right w:w="108" w:type="dxa"/>
          </w:tblCellMar>
        </w:tblPrEx>
        <w:trPr>
          <w:trHeight w:val="564" w:hRule="atLeast"/>
          <w:jc w:val="center"/>
        </w:trPr>
        <w:tc>
          <w:tcPr>
            <w:tcW w:w="3496" w:type="dxa"/>
            <w:tcBorders>
              <w:top w:val="single" w:color="auto" w:sz="4" w:space="0"/>
              <w:left w:val="single" w:color="auto" w:sz="4" w:space="0"/>
              <w:bottom w:val="single" w:color="auto" w:sz="4" w:space="0"/>
              <w:right w:val="single" w:color="auto" w:sz="4" w:space="0"/>
            </w:tcBorders>
            <w:noWrap w:val="0"/>
            <w:vAlign w:val="center"/>
          </w:tcPr>
          <w:p w14:paraId="2266C3D2">
            <w:pPr>
              <w:widowControl/>
              <w:spacing w:before="75" w:beforeAutospacing="0" w:after="75" w:afterAutospacing="0" w:line="495" w:lineRule="atLeast"/>
              <w:jc w:val="center"/>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项目名称</w:t>
            </w:r>
          </w:p>
        </w:tc>
        <w:tc>
          <w:tcPr>
            <w:tcW w:w="4809" w:type="dxa"/>
            <w:tcBorders>
              <w:top w:val="single" w:color="auto" w:sz="4" w:space="0"/>
              <w:left w:val="single" w:color="auto" w:sz="4" w:space="0"/>
              <w:bottom w:val="single" w:color="auto" w:sz="4" w:space="0"/>
              <w:right w:val="single" w:color="auto" w:sz="4" w:space="0"/>
            </w:tcBorders>
            <w:noWrap w:val="0"/>
            <w:vAlign w:val="center"/>
          </w:tcPr>
          <w:p w14:paraId="2C8B1483">
            <w:pPr>
              <w:widowControl/>
              <w:spacing w:before="75" w:beforeAutospacing="0" w:after="75" w:afterAutospacing="0" w:line="495" w:lineRule="atLeast"/>
              <w:jc w:val="center"/>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响应报价</w:t>
            </w:r>
          </w:p>
          <w:p w14:paraId="23B086B6">
            <w:pPr>
              <w:widowControl/>
              <w:spacing w:before="75" w:beforeAutospacing="0" w:after="75" w:afterAutospacing="0" w:line="495" w:lineRule="atLeast"/>
              <w:jc w:val="center"/>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（元）</w:t>
            </w:r>
          </w:p>
        </w:tc>
      </w:tr>
      <w:tr w14:paraId="5742B2AF">
        <w:tblPrEx>
          <w:tblCellMar>
            <w:top w:w="0" w:type="dxa"/>
            <w:left w:w="108" w:type="dxa"/>
            <w:bottom w:w="0" w:type="dxa"/>
            <w:right w:w="108" w:type="dxa"/>
          </w:tblCellMar>
        </w:tblPrEx>
        <w:trPr>
          <w:trHeight w:val="614" w:hRule="atLeast"/>
          <w:jc w:val="center"/>
        </w:trPr>
        <w:tc>
          <w:tcPr>
            <w:tcW w:w="3496" w:type="dxa"/>
            <w:tcBorders>
              <w:top w:val="single" w:color="auto" w:sz="4" w:space="0"/>
              <w:left w:val="single" w:color="auto" w:sz="4" w:space="0"/>
              <w:bottom w:val="single" w:color="auto" w:sz="4" w:space="0"/>
              <w:right w:val="single" w:color="auto" w:sz="4" w:space="0"/>
            </w:tcBorders>
            <w:noWrap w:val="0"/>
            <w:vAlign w:val="center"/>
          </w:tcPr>
          <w:p w14:paraId="43CA0975">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p>
        </w:tc>
        <w:tc>
          <w:tcPr>
            <w:tcW w:w="4809" w:type="dxa"/>
            <w:tcBorders>
              <w:top w:val="single" w:color="auto" w:sz="4" w:space="0"/>
              <w:left w:val="single" w:color="auto" w:sz="4" w:space="0"/>
              <w:bottom w:val="single" w:color="auto" w:sz="4" w:space="0"/>
              <w:right w:val="single" w:color="auto" w:sz="4" w:space="0"/>
            </w:tcBorders>
            <w:noWrap w:val="0"/>
            <w:vAlign w:val="center"/>
          </w:tcPr>
          <w:p w14:paraId="6CBC5958">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p>
        </w:tc>
      </w:tr>
      <w:tr w14:paraId="28A3C68B">
        <w:tblPrEx>
          <w:tblCellMar>
            <w:top w:w="0" w:type="dxa"/>
            <w:left w:w="108" w:type="dxa"/>
            <w:bottom w:w="0" w:type="dxa"/>
            <w:right w:w="108" w:type="dxa"/>
          </w:tblCellMar>
        </w:tblPrEx>
        <w:trPr>
          <w:trHeight w:val="614" w:hRule="atLeast"/>
          <w:jc w:val="center"/>
        </w:trPr>
        <w:tc>
          <w:tcPr>
            <w:tcW w:w="8305" w:type="dxa"/>
            <w:gridSpan w:val="2"/>
            <w:tcBorders>
              <w:top w:val="single" w:color="auto" w:sz="4" w:space="0"/>
              <w:left w:val="single" w:color="auto" w:sz="4" w:space="0"/>
              <w:bottom w:val="single" w:color="auto" w:sz="4" w:space="0"/>
              <w:right w:val="single" w:color="auto" w:sz="4" w:space="0"/>
            </w:tcBorders>
            <w:noWrap w:val="0"/>
            <w:vAlign w:val="center"/>
          </w:tcPr>
          <w:p w14:paraId="6D0165E9">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响应报价（大写金额）</w:t>
            </w:r>
          </w:p>
        </w:tc>
      </w:tr>
    </w:tbl>
    <w:p w14:paraId="4F0DAC42">
      <w:pPr>
        <w:widowControl/>
        <w:spacing w:before="75" w:beforeAutospacing="0" w:after="75" w:afterAutospacing="0" w:line="495" w:lineRule="atLeast"/>
        <w:jc w:val="left"/>
        <w:rPr>
          <w:rFonts w:ascii="宋体" w:hAnsi="宋体" w:eastAsia="宋体" w:cs="宋体"/>
          <w:color w:val="auto"/>
          <w:kern w:val="0"/>
          <w:sz w:val="24"/>
          <w:szCs w:val="24"/>
          <w:highlight w:val="none"/>
          <w:lang w:val="en-US" w:eastAsia="zh-CN" w:bidi="ar-SA"/>
        </w:rPr>
      </w:pPr>
    </w:p>
    <w:p w14:paraId="54472DCA">
      <w:pPr>
        <w:widowControl/>
        <w:spacing w:before="75" w:beforeAutospacing="0" w:after="75" w:afterAutospacing="0" w:line="495" w:lineRule="atLeast"/>
        <w:jc w:val="left"/>
        <w:rPr>
          <w:rFonts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供应商：（单位盖章）</w:t>
      </w:r>
    </w:p>
    <w:p w14:paraId="62B09FF2">
      <w:pPr>
        <w:widowControl/>
        <w:spacing w:before="75" w:beforeAutospacing="0" w:after="75" w:afterAutospacing="0" w:line="495" w:lineRule="atLeast"/>
        <w:jc w:val="left"/>
        <w:rPr>
          <w:rFonts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法定代表人或授权代理人：（签字或盖章）</w:t>
      </w:r>
    </w:p>
    <w:p w14:paraId="4529BE2E">
      <w:pPr>
        <w:widowControl/>
        <w:spacing w:before="75" w:beforeAutospacing="0" w:after="75" w:afterAutospacing="0" w:line="495" w:lineRule="atLeast"/>
        <w:jc w:val="left"/>
        <w:rPr>
          <w:rFonts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 xml:space="preserve">日期：      年     月     日 </w:t>
      </w:r>
    </w:p>
    <w:p w14:paraId="0C3E6D5B">
      <w:pPr>
        <w:spacing w:line="360" w:lineRule="auto"/>
        <w:rPr>
          <w:rFonts w:hint="eastAsia" w:ascii="宋体" w:hAnsi="宋体" w:cs="宋体"/>
          <w:color w:val="auto"/>
          <w:sz w:val="24"/>
          <w:szCs w:val="24"/>
          <w:highlight w:val="none"/>
        </w:rPr>
      </w:pPr>
    </w:p>
    <w:p w14:paraId="760377A5">
      <w:pPr>
        <w:spacing w:line="360" w:lineRule="auto"/>
        <w:ind w:firstLine="3795"/>
        <w:rPr>
          <w:rFonts w:hint="eastAsia" w:ascii="宋体" w:hAnsi="宋体" w:cs="宋体"/>
          <w:b/>
          <w:color w:val="auto"/>
          <w:sz w:val="24"/>
          <w:szCs w:val="24"/>
          <w:highlight w:val="none"/>
        </w:rPr>
      </w:pPr>
    </w:p>
    <w:p w14:paraId="253508E3">
      <w:pPr>
        <w:spacing w:line="360" w:lineRule="auto"/>
        <w:ind w:firstLine="3795"/>
        <w:rPr>
          <w:rFonts w:hint="eastAsia" w:ascii="宋体" w:hAnsi="宋体" w:cs="宋体"/>
          <w:b/>
          <w:color w:val="auto"/>
          <w:sz w:val="24"/>
          <w:szCs w:val="24"/>
          <w:highlight w:val="none"/>
        </w:rPr>
      </w:pPr>
    </w:p>
    <w:p w14:paraId="689314D9">
      <w:pP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lang w:val="en-US" w:eastAsia="zh-CN"/>
        </w:rPr>
        <w:t>注：</w:t>
      </w:r>
      <w:r>
        <w:rPr>
          <w:rFonts w:hint="eastAsia" w:ascii="宋体" w:hAnsi="宋体" w:cs="宋体"/>
          <w:b/>
          <w:color w:val="auto"/>
          <w:sz w:val="24"/>
          <w:szCs w:val="24"/>
          <w:highlight w:val="none"/>
        </w:rPr>
        <w:t>具体按“苏采云”系统填报</w:t>
      </w:r>
    </w:p>
    <w:p w14:paraId="3AB71421">
      <w:pPr>
        <w:spacing w:line="360" w:lineRule="auto"/>
        <w:rPr>
          <w:rFonts w:hint="eastAsia" w:ascii="宋体" w:hAnsi="宋体" w:cs="宋体"/>
          <w:color w:val="auto"/>
          <w:szCs w:val="21"/>
          <w:highlight w:val="none"/>
        </w:rPr>
      </w:pPr>
    </w:p>
    <w:p w14:paraId="3B4E5D33">
      <w:pPr>
        <w:spacing w:line="360" w:lineRule="auto"/>
        <w:outlineLvl w:val="1"/>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szCs w:val="24"/>
          <w:highlight w:val="none"/>
          <w:lang w:val="en-US" w:eastAsia="zh-CN"/>
        </w:rPr>
        <w:t>4</w:t>
      </w:r>
      <w:r>
        <w:rPr>
          <w:rFonts w:hint="eastAsia" w:ascii="宋体" w:hAnsi="宋体" w:cs="宋体"/>
          <w:b/>
          <w:bCs/>
          <w:color w:val="auto"/>
          <w:sz w:val="24"/>
          <w:szCs w:val="24"/>
          <w:highlight w:val="none"/>
        </w:rPr>
        <w:t>、</w:t>
      </w:r>
      <w:r>
        <w:rPr>
          <w:rFonts w:hint="eastAsia" w:ascii="宋体" w:hAnsi="宋体"/>
          <w:b/>
          <w:bCs/>
          <w:color w:val="auto"/>
          <w:sz w:val="24"/>
          <w:szCs w:val="24"/>
          <w:highlight w:val="none"/>
        </w:rPr>
        <w:t>磋商报价明细表</w:t>
      </w:r>
    </w:p>
    <w:p w14:paraId="2D49FBB2">
      <w:pPr>
        <w:spacing w:before="69" w:line="416" w:lineRule="auto"/>
        <w:ind w:left="37" w:right="55" w:firstLine="419"/>
        <w:jc w:val="center"/>
        <w:rPr>
          <w:rFonts w:hint="eastAsia" w:ascii="宋体" w:hAnsi="宋体" w:cs="宋体"/>
          <w:b/>
          <w:color w:val="auto"/>
          <w:spacing w:val="-9"/>
          <w:sz w:val="24"/>
          <w:szCs w:val="24"/>
          <w:highlight w:val="none"/>
        </w:rPr>
      </w:pPr>
      <w:r>
        <w:rPr>
          <w:rFonts w:hint="eastAsia" w:ascii="宋体" w:hAnsi="宋体" w:cs="宋体"/>
          <w:b/>
          <w:color w:val="auto"/>
          <w:spacing w:val="-9"/>
          <w:sz w:val="24"/>
          <w:szCs w:val="24"/>
          <w:highlight w:val="none"/>
        </w:rPr>
        <w:t>磋商报价明细表</w:t>
      </w:r>
    </w:p>
    <w:p w14:paraId="6D63DBFD">
      <w:pPr>
        <w:spacing w:line="360" w:lineRule="auto"/>
        <w:ind w:firstLine="360"/>
        <w:rPr>
          <w:rFonts w:hint="eastAsia" w:ascii="宋体" w:hAnsi="宋体" w:cs="宋体"/>
          <w:color w:val="auto"/>
          <w:spacing w:val="-15"/>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7"/>
        <w:gridCol w:w="1370"/>
        <w:gridCol w:w="1034"/>
        <w:gridCol w:w="1200"/>
        <w:gridCol w:w="960"/>
        <w:gridCol w:w="840"/>
        <w:gridCol w:w="1336"/>
        <w:gridCol w:w="687"/>
        <w:gridCol w:w="688"/>
      </w:tblGrid>
      <w:tr w14:paraId="55A68B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2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1475DD5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70" w:type="dxa"/>
            <w:tcBorders>
              <w:top w:val="single" w:color="auto" w:sz="4" w:space="0"/>
              <w:left w:val="single" w:color="auto" w:sz="4" w:space="0"/>
              <w:bottom w:val="single" w:color="auto" w:sz="4" w:space="0"/>
              <w:right w:val="single" w:color="auto" w:sz="4" w:space="0"/>
            </w:tcBorders>
            <w:noWrap/>
            <w:vAlign w:val="center"/>
          </w:tcPr>
          <w:p w14:paraId="5236371B">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分项名称</w:t>
            </w: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89E8271">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天数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FBDCAD8">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960" w:type="dxa"/>
            <w:tcBorders>
              <w:top w:val="single" w:color="auto" w:sz="4" w:space="0"/>
              <w:left w:val="single" w:color="auto" w:sz="4" w:space="0"/>
              <w:bottom w:val="single" w:color="auto" w:sz="4" w:space="0"/>
              <w:right w:val="single" w:color="auto" w:sz="4" w:space="0"/>
            </w:tcBorders>
            <w:noWrap/>
            <w:vAlign w:val="center"/>
          </w:tcPr>
          <w:p w14:paraId="39D92184">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0" w:type="dxa"/>
            <w:tcBorders>
              <w:top w:val="single" w:color="auto" w:sz="4" w:space="0"/>
              <w:left w:val="single" w:color="auto" w:sz="4" w:space="0"/>
              <w:bottom w:val="single" w:color="auto" w:sz="4" w:space="0"/>
              <w:right w:val="single" w:color="auto" w:sz="4" w:space="0"/>
            </w:tcBorders>
            <w:noWrap/>
            <w:vAlign w:val="center"/>
          </w:tcPr>
          <w:p w14:paraId="79417BEC">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336" w:type="dxa"/>
            <w:tcBorders>
              <w:top w:val="single" w:color="auto" w:sz="4" w:space="0"/>
              <w:left w:val="single" w:color="auto" w:sz="4" w:space="0"/>
              <w:bottom w:val="single" w:color="auto" w:sz="4" w:space="0"/>
              <w:right w:val="single" w:color="auto" w:sz="4" w:space="0"/>
            </w:tcBorders>
            <w:noWrap/>
            <w:vAlign w:val="center"/>
          </w:tcPr>
          <w:p w14:paraId="23697C15">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p w14:paraId="6E3AABF2">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（元/份）</w:t>
            </w:r>
          </w:p>
        </w:tc>
        <w:tc>
          <w:tcPr>
            <w:tcW w:w="687" w:type="dxa"/>
            <w:tcBorders>
              <w:top w:val="single" w:color="auto" w:sz="4" w:space="0"/>
              <w:left w:val="single" w:color="auto" w:sz="4" w:space="0"/>
              <w:bottom w:val="single" w:color="auto" w:sz="4" w:space="0"/>
              <w:right w:val="single" w:color="auto" w:sz="4" w:space="0"/>
            </w:tcBorders>
            <w:noWrap/>
            <w:vAlign w:val="center"/>
          </w:tcPr>
          <w:p w14:paraId="3496131F">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c>
          <w:tcPr>
            <w:tcW w:w="688" w:type="dxa"/>
            <w:tcBorders>
              <w:top w:val="single" w:color="auto" w:sz="4" w:space="0"/>
              <w:left w:val="single" w:color="auto" w:sz="4" w:space="0"/>
              <w:bottom w:val="single" w:color="auto" w:sz="4" w:space="0"/>
              <w:right w:val="single" w:color="auto" w:sz="4" w:space="0"/>
            </w:tcBorders>
            <w:noWrap/>
            <w:vAlign w:val="center"/>
          </w:tcPr>
          <w:p w14:paraId="5A89C062">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86973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30"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1CC81C5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70" w:type="dxa"/>
            <w:tcBorders>
              <w:top w:val="single" w:color="auto" w:sz="4" w:space="0"/>
              <w:left w:val="single" w:color="auto" w:sz="4" w:space="0"/>
              <w:bottom w:val="single" w:color="auto" w:sz="4" w:space="0"/>
              <w:right w:val="single" w:color="auto" w:sz="4" w:space="0"/>
            </w:tcBorders>
            <w:noWrap/>
            <w:vAlign w:val="center"/>
          </w:tcPr>
          <w:p w14:paraId="19CFC5BE">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早餐</w:t>
            </w:r>
          </w:p>
        </w:tc>
        <w:tc>
          <w:tcPr>
            <w:tcW w:w="1034" w:type="dxa"/>
            <w:tcBorders>
              <w:top w:val="single" w:color="auto" w:sz="4" w:space="0"/>
              <w:left w:val="single" w:color="auto" w:sz="4" w:space="0"/>
              <w:bottom w:val="single" w:color="auto" w:sz="4" w:space="0"/>
              <w:right w:val="single" w:color="auto" w:sz="4" w:space="0"/>
            </w:tcBorders>
            <w:noWrap w:val="0"/>
            <w:vAlign w:val="center"/>
          </w:tcPr>
          <w:p w14:paraId="50CE2057">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C7F9FBA">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70人/天</w:t>
            </w:r>
          </w:p>
        </w:tc>
        <w:tc>
          <w:tcPr>
            <w:tcW w:w="960" w:type="dxa"/>
            <w:tcBorders>
              <w:top w:val="single" w:color="auto" w:sz="4" w:space="0"/>
              <w:left w:val="single" w:color="auto" w:sz="4" w:space="0"/>
              <w:bottom w:val="single" w:color="auto" w:sz="4" w:space="0"/>
              <w:right w:val="single" w:color="auto" w:sz="4" w:space="0"/>
            </w:tcBorders>
            <w:noWrap/>
            <w:vAlign w:val="center"/>
          </w:tcPr>
          <w:p w14:paraId="6EFAED8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25550</w:t>
            </w:r>
          </w:p>
        </w:tc>
        <w:tc>
          <w:tcPr>
            <w:tcW w:w="840" w:type="dxa"/>
            <w:tcBorders>
              <w:top w:val="single" w:color="auto" w:sz="4" w:space="0"/>
              <w:left w:val="single" w:color="auto" w:sz="4" w:space="0"/>
              <w:bottom w:val="single" w:color="auto" w:sz="4" w:space="0"/>
              <w:right w:val="single" w:color="auto" w:sz="4" w:space="0"/>
            </w:tcBorders>
            <w:noWrap/>
            <w:vAlign w:val="center"/>
          </w:tcPr>
          <w:p w14:paraId="37DABB40">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c>
          <w:tcPr>
            <w:tcW w:w="1336" w:type="dxa"/>
            <w:tcBorders>
              <w:top w:val="single" w:color="auto" w:sz="4" w:space="0"/>
              <w:left w:val="single" w:color="auto" w:sz="4" w:space="0"/>
              <w:bottom w:val="single" w:color="auto" w:sz="4" w:space="0"/>
              <w:right w:val="single" w:color="auto" w:sz="4" w:space="0"/>
            </w:tcBorders>
            <w:noWrap/>
            <w:vAlign w:val="center"/>
          </w:tcPr>
          <w:p w14:paraId="1D853F8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4D19C0D4">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6E5E306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3C0413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82"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70D65AD7">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70" w:type="dxa"/>
            <w:tcBorders>
              <w:top w:val="single" w:color="auto" w:sz="4" w:space="0"/>
              <w:left w:val="single" w:color="auto" w:sz="4" w:space="0"/>
              <w:bottom w:val="single" w:color="auto" w:sz="4" w:space="0"/>
              <w:right w:val="single" w:color="auto" w:sz="4" w:space="0"/>
            </w:tcBorders>
            <w:noWrap/>
            <w:vAlign w:val="center"/>
          </w:tcPr>
          <w:p w14:paraId="2894A2C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午餐和晚餐</w:t>
            </w: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68CC12A">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CE27686">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319人/天</w:t>
            </w:r>
          </w:p>
        </w:tc>
        <w:tc>
          <w:tcPr>
            <w:tcW w:w="960" w:type="dxa"/>
            <w:tcBorders>
              <w:top w:val="single" w:color="auto" w:sz="4" w:space="0"/>
              <w:left w:val="single" w:color="auto" w:sz="4" w:space="0"/>
              <w:bottom w:val="single" w:color="auto" w:sz="4" w:space="0"/>
              <w:right w:val="single" w:color="auto" w:sz="4" w:space="0"/>
            </w:tcBorders>
            <w:noWrap/>
            <w:vAlign w:val="center"/>
          </w:tcPr>
          <w:p w14:paraId="08EA3135">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116435</w:t>
            </w:r>
          </w:p>
        </w:tc>
        <w:tc>
          <w:tcPr>
            <w:tcW w:w="840" w:type="dxa"/>
            <w:tcBorders>
              <w:top w:val="single" w:color="auto" w:sz="4" w:space="0"/>
              <w:left w:val="single" w:color="auto" w:sz="4" w:space="0"/>
              <w:bottom w:val="single" w:color="auto" w:sz="4" w:space="0"/>
              <w:right w:val="single" w:color="auto" w:sz="4" w:space="0"/>
            </w:tcBorders>
            <w:noWrap/>
            <w:vAlign w:val="center"/>
          </w:tcPr>
          <w:p w14:paraId="650A9B3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c>
          <w:tcPr>
            <w:tcW w:w="1336" w:type="dxa"/>
            <w:tcBorders>
              <w:top w:val="single" w:color="auto" w:sz="4" w:space="0"/>
              <w:left w:val="single" w:color="auto" w:sz="4" w:space="0"/>
              <w:bottom w:val="single" w:color="auto" w:sz="4" w:space="0"/>
              <w:right w:val="single" w:color="auto" w:sz="4" w:space="0"/>
            </w:tcBorders>
            <w:noWrap/>
            <w:vAlign w:val="center"/>
          </w:tcPr>
          <w:p w14:paraId="19A60ADD">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23AFE357">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5E25FC1F">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32C34B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750D6C27">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70" w:type="dxa"/>
            <w:tcBorders>
              <w:top w:val="single" w:color="auto" w:sz="4" w:space="0"/>
              <w:left w:val="single" w:color="auto" w:sz="4" w:space="0"/>
              <w:bottom w:val="single" w:color="auto" w:sz="4" w:space="0"/>
              <w:right w:val="single" w:color="auto" w:sz="4" w:space="0"/>
            </w:tcBorders>
            <w:noWrap/>
            <w:vAlign w:val="center"/>
          </w:tcPr>
          <w:p w14:paraId="67D274B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E2BEBB8">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7E8F8A96">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40A515E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19CA2B0F">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ign w:val="center"/>
          </w:tcPr>
          <w:p w14:paraId="3D86249D">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6D4DAAA1">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347310F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6104DE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278921C5">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70" w:type="dxa"/>
            <w:tcBorders>
              <w:top w:val="single" w:color="auto" w:sz="4" w:space="0"/>
              <w:left w:val="single" w:color="auto" w:sz="4" w:space="0"/>
              <w:bottom w:val="single" w:color="auto" w:sz="4" w:space="0"/>
              <w:right w:val="single" w:color="auto" w:sz="4" w:space="0"/>
            </w:tcBorders>
            <w:noWrap/>
            <w:vAlign w:val="center"/>
          </w:tcPr>
          <w:p w14:paraId="5C5AF4BA">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034" w:type="dxa"/>
            <w:tcBorders>
              <w:top w:val="single" w:color="auto" w:sz="4" w:space="0"/>
              <w:left w:val="single" w:color="auto" w:sz="4" w:space="0"/>
              <w:bottom w:val="single" w:color="auto" w:sz="4" w:space="0"/>
              <w:right w:val="single" w:color="auto" w:sz="4" w:space="0"/>
            </w:tcBorders>
            <w:noWrap w:val="0"/>
            <w:vAlign w:val="center"/>
          </w:tcPr>
          <w:p w14:paraId="76A2F33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19C218F">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00715640">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534127E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ign w:val="center"/>
          </w:tcPr>
          <w:p w14:paraId="10ACA90B">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4648AB21">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6B51C198">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184FF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03B5DADA">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70" w:type="dxa"/>
            <w:tcBorders>
              <w:top w:val="single" w:color="auto" w:sz="4" w:space="0"/>
              <w:left w:val="single" w:color="auto" w:sz="4" w:space="0"/>
              <w:bottom w:val="single" w:color="auto" w:sz="4" w:space="0"/>
              <w:right w:val="single" w:color="auto" w:sz="4" w:space="0"/>
            </w:tcBorders>
            <w:noWrap/>
            <w:vAlign w:val="center"/>
          </w:tcPr>
          <w:p w14:paraId="7F057350">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973661B">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6FC1D1F">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63DE0B5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0EF2F971">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ign w:val="center"/>
          </w:tcPr>
          <w:p w14:paraId="3CDF4C14">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2FFA78B5">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08E5660C">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7A1E4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0BB7221C">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70" w:type="dxa"/>
            <w:tcBorders>
              <w:top w:val="single" w:color="auto" w:sz="4" w:space="0"/>
              <w:left w:val="single" w:color="auto" w:sz="4" w:space="0"/>
              <w:bottom w:val="single" w:color="auto" w:sz="4" w:space="0"/>
              <w:right w:val="single" w:color="auto" w:sz="4" w:space="0"/>
            </w:tcBorders>
            <w:noWrap/>
            <w:vAlign w:val="center"/>
          </w:tcPr>
          <w:p w14:paraId="2A75EC5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3557740">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1B9A98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26AD3ACC">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5B4E5338">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ign w:val="center"/>
          </w:tcPr>
          <w:p w14:paraId="21942398">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497CD72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37D14E1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77F4EA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87" w:type="dxa"/>
            <w:tcBorders>
              <w:top w:val="single" w:color="auto" w:sz="4" w:space="0"/>
              <w:left w:val="single" w:color="auto" w:sz="4" w:space="0"/>
              <w:bottom w:val="single" w:color="auto" w:sz="4" w:space="0"/>
              <w:right w:val="single" w:color="auto" w:sz="4" w:space="0"/>
            </w:tcBorders>
            <w:noWrap/>
            <w:vAlign w:val="center"/>
          </w:tcPr>
          <w:p w14:paraId="67F0727B">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70" w:type="dxa"/>
            <w:tcBorders>
              <w:top w:val="single" w:color="auto" w:sz="4" w:space="0"/>
              <w:left w:val="single" w:color="auto" w:sz="4" w:space="0"/>
              <w:bottom w:val="single" w:color="auto" w:sz="4" w:space="0"/>
              <w:right w:val="single" w:color="auto" w:sz="4" w:space="0"/>
            </w:tcBorders>
            <w:noWrap/>
            <w:vAlign w:val="center"/>
          </w:tcPr>
          <w:p w14:paraId="0FAAE91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034" w:type="dxa"/>
            <w:tcBorders>
              <w:top w:val="single" w:color="auto" w:sz="4" w:space="0"/>
              <w:left w:val="single" w:color="auto" w:sz="4" w:space="0"/>
              <w:bottom w:val="single" w:color="auto" w:sz="4" w:space="0"/>
              <w:right w:val="single" w:color="auto" w:sz="4" w:space="0"/>
            </w:tcBorders>
            <w:noWrap w:val="0"/>
            <w:vAlign w:val="center"/>
          </w:tcPr>
          <w:p w14:paraId="145B7089">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12678E74">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noWrap/>
            <w:vAlign w:val="center"/>
          </w:tcPr>
          <w:p w14:paraId="14626C17">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840" w:type="dxa"/>
            <w:tcBorders>
              <w:top w:val="single" w:color="auto" w:sz="4" w:space="0"/>
              <w:left w:val="single" w:color="auto" w:sz="4" w:space="0"/>
              <w:bottom w:val="single" w:color="auto" w:sz="4" w:space="0"/>
              <w:right w:val="single" w:color="auto" w:sz="4" w:space="0"/>
            </w:tcBorders>
            <w:noWrap/>
            <w:vAlign w:val="center"/>
          </w:tcPr>
          <w:p w14:paraId="243245C5">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1336" w:type="dxa"/>
            <w:tcBorders>
              <w:top w:val="single" w:color="auto" w:sz="4" w:space="0"/>
              <w:left w:val="single" w:color="auto" w:sz="4" w:space="0"/>
              <w:bottom w:val="single" w:color="auto" w:sz="4" w:space="0"/>
              <w:right w:val="single" w:color="auto" w:sz="4" w:space="0"/>
            </w:tcBorders>
            <w:noWrap/>
            <w:vAlign w:val="center"/>
          </w:tcPr>
          <w:p w14:paraId="19B20562">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7" w:type="dxa"/>
            <w:tcBorders>
              <w:top w:val="single" w:color="auto" w:sz="4" w:space="0"/>
              <w:left w:val="single" w:color="auto" w:sz="4" w:space="0"/>
              <w:bottom w:val="single" w:color="auto" w:sz="4" w:space="0"/>
              <w:right w:val="single" w:color="auto" w:sz="4" w:space="0"/>
            </w:tcBorders>
            <w:noWrap/>
            <w:vAlign w:val="center"/>
          </w:tcPr>
          <w:p w14:paraId="297143F3">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688" w:type="dxa"/>
            <w:tcBorders>
              <w:top w:val="single" w:color="auto" w:sz="4" w:space="0"/>
              <w:left w:val="single" w:color="auto" w:sz="4" w:space="0"/>
              <w:bottom w:val="single" w:color="auto" w:sz="4" w:space="0"/>
              <w:right w:val="single" w:color="auto" w:sz="4" w:space="0"/>
            </w:tcBorders>
            <w:noWrap/>
            <w:vAlign w:val="center"/>
          </w:tcPr>
          <w:p w14:paraId="245237D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7D0C64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8802" w:type="dxa"/>
            <w:gridSpan w:val="9"/>
            <w:tcBorders>
              <w:top w:val="single" w:color="auto" w:sz="4" w:space="0"/>
              <w:left w:val="single" w:color="auto" w:sz="4" w:space="0"/>
              <w:bottom w:val="single" w:color="auto" w:sz="4" w:space="0"/>
              <w:right w:val="single" w:color="auto" w:sz="4" w:space="0"/>
            </w:tcBorders>
            <w:noWrap w:val="0"/>
            <w:vAlign w:val="center"/>
          </w:tcPr>
          <w:p w14:paraId="0EC24D2E">
            <w:pPr>
              <w:pStyle w:val="300"/>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合计（人民币大写）：  ￥：</w:t>
            </w:r>
          </w:p>
        </w:tc>
      </w:tr>
    </w:tbl>
    <w:p w14:paraId="3A77C861">
      <w:pPr>
        <w:spacing w:line="360" w:lineRule="auto"/>
        <w:ind w:firstLine="360"/>
        <w:rPr>
          <w:rFonts w:hint="eastAsia" w:ascii="宋体" w:hAnsi="宋体" w:cs="宋体"/>
          <w:color w:val="auto"/>
          <w:spacing w:val="-15"/>
          <w:highlight w:val="none"/>
        </w:rPr>
      </w:pPr>
    </w:p>
    <w:p w14:paraId="2D583237">
      <w:pPr>
        <w:spacing w:line="360" w:lineRule="auto"/>
        <w:ind w:firstLine="360"/>
        <w:rPr>
          <w:rFonts w:hint="eastAsia" w:ascii="宋体" w:hAnsi="宋体" w:cs="宋体"/>
          <w:color w:val="auto"/>
          <w:highlight w:val="none"/>
        </w:rPr>
      </w:pPr>
      <w:r>
        <w:rPr>
          <w:rFonts w:hint="eastAsia" w:ascii="宋体" w:hAnsi="宋体" w:cs="宋体"/>
          <w:color w:val="auto"/>
          <w:spacing w:val="-15"/>
          <w:highlight w:val="none"/>
        </w:rPr>
        <w:t>注</w:t>
      </w:r>
      <w:r>
        <w:rPr>
          <w:rFonts w:hint="eastAsia" w:ascii="宋体" w:hAnsi="宋体" w:cs="宋体"/>
          <w:color w:val="auto"/>
          <w:spacing w:val="-13"/>
          <w:highlight w:val="none"/>
        </w:rPr>
        <w:t>：</w:t>
      </w:r>
    </w:p>
    <w:p w14:paraId="28DDCD10">
      <w:pPr>
        <w:spacing w:line="360" w:lineRule="auto"/>
        <w:ind w:firstLine="420"/>
        <w:rPr>
          <w:rFonts w:hint="eastAsia" w:ascii="宋体" w:hAnsi="宋体" w:cs="宋体"/>
          <w:color w:val="auto"/>
          <w:highlight w:val="none"/>
        </w:rPr>
      </w:pPr>
      <w:r>
        <w:rPr>
          <w:rFonts w:hint="eastAsia" w:ascii="宋体" w:hAnsi="宋体" w:cs="宋体"/>
          <w:color w:val="auto"/>
          <w:highlight w:val="none"/>
        </w:rPr>
        <w:t>1.磋商报价明细表中的合计金额都应与开标一览表合计金额一致；否则，以开标一览表为准。</w:t>
      </w:r>
    </w:p>
    <w:p w14:paraId="5E541B69">
      <w:pPr>
        <w:spacing w:line="360" w:lineRule="auto"/>
        <w:ind w:firstLine="420"/>
        <w:rPr>
          <w:rFonts w:hint="eastAsia" w:ascii="宋体" w:hAnsi="宋体" w:cs="Arial"/>
          <w:color w:val="auto"/>
          <w:szCs w:val="21"/>
          <w:highlight w:val="none"/>
        </w:rPr>
      </w:pPr>
      <w:r>
        <w:rPr>
          <w:rFonts w:hint="eastAsia" w:ascii="宋体" w:hAnsi="宋体" w:cs="宋体"/>
          <w:color w:val="auto"/>
          <w:highlight w:val="none"/>
        </w:rPr>
        <w:t>2.报价表包含响应供应商各项成本核算和投入的成本明细，凡涉及到的费用应按劳动法规定执行。</w:t>
      </w:r>
    </w:p>
    <w:p w14:paraId="5D03D5A6">
      <w:pPr>
        <w:keepNext w:val="0"/>
        <w:keepLines w:val="0"/>
        <w:pageBreakBefore w:val="0"/>
        <w:widowControl w:val="0"/>
        <w:spacing w:line="400" w:lineRule="exact"/>
        <w:jc w:val="left"/>
        <w:outlineLvl w:val="1"/>
        <w:rPr>
          <w:rFonts w:hint="eastAsia" w:ascii="宋体" w:hAnsi="宋体" w:cs="宋体"/>
          <w:color w:val="auto"/>
          <w:sz w:val="24"/>
          <w:szCs w:val="24"/>
          <w:highlight w:val="none"/>
        </w:rPr>
      </w:pPr>
    </w:p>
    <w:p w14:paraId="59DB9687">
      <w:pPr>
        <w:keepNext w:val="0"/>
        <w:keepLines w:val="0"/>
        <w:pageBreakBefore w:val="0"/>
        <w:widowControl w:val="0"/>
        <w:spacing w:line="400" w:lineRule="exact"/>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326FFBF0">
      <w:pPr>
        <w:keepNext w:val="0"/>
        <w:keepLines w:val="0"/>
        <w:pageBreakBefore w:val="0"/>
        <w:widowControl w:val="0"/>
        <w:spacing w:line="400" w:lineRule="exact"/>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2622AA68">
      <w:pPr>
        <w:keepNext w:val="0"/>
        <w:keepLines w:val="0"/>
        <w:pageBreakBefore w:val="0"/>
        <w:widowControl w:val="0"/>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A68D8F1">
      <w:pPr>
        <w:spacing w:line="360" w:lineRule="auto"/>
        <w:ind w:firstLine="420"/>
        <w:jc w:val="left"/>
        <w:rPr>
          <w:rFonts w:hint="eastAsia" w:ascii="宋体" w:hAnsi="宋体" w:cs="宋体"/>
          <w:color w:val="auto"/>
          <w:szCs w:val="21"/>
          <w:highlight w:val="none"/>
        </w:rPr>
      </w:pPr>
    </w:p>
    <w:p w14:paraId="5BE1A852">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02018E89">
      <w:pPr>
        <w:spacing w:line="400" w:lineRule="exact"/>
        <w:rPr>
          <w:rFonts w:hint="eastAsia" w:ascii="宋体" w:hAnsi="宋体" w:cs="宋体"/>
          <w:b/>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rPr>
        <w:t>服务要求偏离表</w:t>
      </w:r>
    </w:p>
    <w:p w14:paraId="06B8BEC5">
      <w:pPr>
        <w:spacing w:line="400" w:lineRule="exact"/>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服务要求偏离表</w:t>
      </w:r>
    </w:p>
    <w:p w14:paraId="661E3D0F">
      <w:pPr>
        <w:spacing w:line="400" w:lineRule="exact"/>
        <w:rPr>
          <w:rFonts w:hint="eastAsia" w:ascii="宋体" w:hAnsi="宋体" w:cs="宋体"/>
          <w:color w:val="auto"/>
          <w:szCs w:val="21"/>
          <w:highlight w:val="none"/>
        </w:rPr>
      </w:pPr>
    </w:p>
    <w:tbl>
      <w:tblPr>
        <w:tblStyle w:val="38"/>
        <w:tblW w:w="4686" w:type="pct"/>
        <w:tblInd w:w="0" w:type="dxa"/>
        <w:tblLayout w:type="autofit"/>
        <w:tblCellMar>
          <w:top w:w="0" w:type="dxa"/>
          <w:left w:w="0" w:type="dxa"/>
          <w:bottom w:w="0" w:type="dxa"/>
          <w:right w:w="0" w:type="dxa"/>
        </w:tblCellMar>
      </w:tblPr>
      <w:tblGrid>
        <w:gridCol w:w="630"/>
        <w:gridCol w:w="1494"/>
        <w:gridCol w:w="1988"/>
        <w:gridCol w:w="1988"/>
        <w:gridCol w:w="1501"/>
        <w:gridCol w:w="1379"/>
      </w:tblGrid>
      <w:tr w14:paraId="06282099">
        <w:tblPrEx>
          <w:tblCellMar>
            <w:top w:w="0" w:type="dxa"/>
            <w:left w:w="0" w:type="dxa"/>
            <w:bottom w:w="0" w:type="dxa"/>
            <w:right w:w="0" w:type="dxa"/>
          </w:tblCellMar>
        </w:tblPrEx>
        <w:trPr>
          <w:trHeight w:val="1127"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05D6302">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1BD3675">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服务内容</w:t>
            </w: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2D0548C">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采购要求</w:t>
            </w: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F2DBEF8">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响应要求</w:t>
            </w: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7806163">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偏离/响应</w:t>
            </w: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E6BA4BF">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6875F2D2">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03F7093">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F2C9184">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ED178A5">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E4330D8">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460547C">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775C49C">
            <w:pPr>
              <w:spacing w:line="400" w:lineRule="exact"/>
              <w:jc w:val="center"/>
              <w:rPr>
                <w:rFonts w:hint="eastAsia" w:ascii="宋体" w:hAnsi="宋体" w:cs="宋体"/>
                <w:color w:val="auto"/>
                <w:szCs w:val="21"/>
                <w:highlight w:val="none"/>
              </w:rPr>
            </w:pPr>
          </w:p>
        </w:tc>
      </w:tr>
      <w:tr w14:paraId="56F1A9A0">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41B50B7">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EC885A0">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A657795">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D3B4A88">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384731C">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B42FEEA">
            <w:pPr>
              <w:spacing w:line="400" w:lineRule="exact"/>
              <w:jc w:val="center"/>
              <w:rPr>
                <w:rFonts w:hint="eastAsia" w:ascii="宋体" w:hAnsi="宋体" w:cs="宋体"/>
                <w:color w:val="auto"/>
                <w:szCs w:val="21"/>
                <w:highlight w:val="none"/>
              </w:rPr>
            </w:pPr>
          </w:p>
        </w:tc>
      </w:tr>
      <w:tr w14:paraId="362E04CE">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01CBBCFA">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E4A75D2">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AB9EF10">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D79A68A">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75847FE">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63FC3A6">
            <w:pPr>
              <w:spacing w:line="400" w:lineRule="exact"/>
              <w:jc w:val="center"/>
              <w:rPr>
                <w:rFonts w:hint="eastAsia" w:ascii="宋体" w:hAnsi="宋体" w:cs="宋体"/>
                <w:color w:val="auto"/>
                <w:szCs w:val="21"/>
                <w:highlight w:val="none"/>
              </w:rPr>
            </w:pPr>
          </w:p>
        </w:tc>
      </w:tr>
      <w:tr w14:paraId="6FFC5AA9">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57EBDF5F">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F0D3D87">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921FBB4">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FE2C2BA">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B552817">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11C7AFB">
            <w:pPr>
              <w:spacing w:line="400" w:lineRule="exact"/>
              <w:jc w:val="center"/>
              <w:rPr>
                <w:rFonts w:hint="eastAsia" w:ascii="宋体" w:hAnsi="宋体" w:cs="宋体"/>
                <w:color w:val="auto"/>
                <w:szCs w:val="21"/>
                <w:highlight w:val="none"/>
              </w:rPr>
            </w:pPr>
          </w:p>
        </w:tc>
      </w:tr>
      <w:tr w14:paraId="15829813">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F04C706">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54B5FB9">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75780AE">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DA943AD">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1D7075C">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46B95DF">
            <w:pPr>
              <w:spacing w:line="400" w:lineRule="exact"/>
              <w:jc w:val="center"/>
              <w:rPr>
                <w:rFonts w:hint="eastAsia" w:ascii="宋体" w:hAnsi="宋体" w:cs="宋体"/>
                <w:color w:val="auto"/>
                <w:szCs w:val="21"/>
                <w:highlight w:val="none"/>
              </w:rPr>
            </w:pPr>
          </w:p>
        </w:tc>
      </w:tr>
      <w:tr w14:paraId="1CB3DAAD">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A4DB365">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44584F8">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1F913E1">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92DD466">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A1B0840">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6D3D50B">
            <w:pPr>
              <w:spacing w:line="400" w:lineRule="exact"/>
              <w:jc w:val="center"/>
              <w:rPr>
                <w:rFonts w:hint="eastAsia" w:ascii="宋体" w:hAnsi="宋体" w:cs="宋体"/>
                <w:color w:val="auto"/>
                <w:szCs w:val="21"/>
                <w:highlight w:val="none"/>
              </w:rPr>
            </w:pPr>
          </w:p>
        </w:tc>
      </w:tr>
      <w:tr w14:paraId="5749F6D5">
        <w:tblPrEx>
          <w:tblCellMar>
            <w:top w:w="0" w:type="dxa"/>
            <w:left w:w="0" w:type="dxa"/>
            <w:bottom w:w="0" w:type="dxa"/>
            <w:right w:w="0" w:type="dxa"/>
          </w:tblCellMar>
        </w:tblPrEx>
        <w:trPr>
          <w:trHeight w:val="725"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792B566D">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7775771">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0EE25D9">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E360CEC">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AEABF7E">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EE393D4">
            <w:pPr>
              <w:spacing w:line="400" w:lineRule="exact"/>
              <w:jc w:val="center"/>
              <w:rPr>
                <w:rFonts w:hint="eastAsia" w:ascii="宋体" w:hAnsi="宋体" w:cs="宋体"/>
                <w:color w:val="auto"/>
                <w:szCs w:val="21"/>
                <w:highlight w:val="none"/>
              </w:rPr>
            </w:pPr>
          </w:p>
        </w:tc>
      </w:tr>
      <w:tr w14:paraId="44D3EE58">
        <w:tblPrEx>
          <w:tblCellMar>
            <w:top w:w="0" w:type="dxa"/>
            <w:left w:w="0" w:type="dxa"/>
            <w:bottom w:w="0" w:type="dxa"/>
            <w:right w:w="0" w:type="dxa"/>
          </w:tblCellMar>
        </w:tblPrEx>
        <w:trPr>
          <w:trHeight w:val="739" w:hRule="atLeast"/>
        </w:trPr>
        <w:tc>
          <w:tcPr>
            <w:tcW w:w="351"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C9E9365">
            <w:pPr>
              <w:spacing w:line="400" w:lineRule="exact"/>
              <w:jc w:val="center"/>
              <w:rPr>
                <w:rFonts w:hint="eastAsia" w:ascii="宋体" w:hAnsi="宋体" w:cs="宋体"/>
                <w:color w:val="auto"/>
                <w:szCs w:val="21"/>
                <w:highlight w:val="none"/>
              </w:rPr>
            </w:pPr>
          </w:p>
        </w:tc>
        <w:tc>
          <w:tcPr>
            <w:tcW w:w="831"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9A5A455">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FF103DE">
            <w:pPr>
              <w:spacing w:line="400" w:lineRule="exact"/>
              <w:jc w:val="center"/>
              <w:rPr>
                <w:rFonts w:hint="eastAsia" w:ascii="宋体" w:hAnsi="宋体" w:cs="宋体"/>
                <w:color w:val="auto"/>
                <w:szCs w:val="21"/>
                <w:highlight w:val="none"/>
              </w:rPr>
            </w:pPr>
          </w:p>
        </w:tc>
        <w:tc>
          <w:tcPr>
            <w:tcW w:w="110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BFF682B">
            <w:pPr>
              <w:spacing w:line="400" w:lineRule="exact"/>
              <w:jc w:val="center"/>
              <w:rPr>
                <w:rFonts w:hint="eastAsia" w:ascii="宋体" w:hAnsi="宋体" w:cs="宋体"/>
                <w:color w:val="auto"/>
                <w:szCs w:val="21"/>
                <w:highlight w:val="none"/>
              </w:rPr>
            </w:pPr>
          </w:p>
        </w:tc>
        <w:tc>
          <w:tcPr>
            <w:tcW w:w="835"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65AB645E">
            <w:pPr>
              <w:spacing w:line="400" w:lineRule="exact"/>
              <w:jc w:val="center"/>
              <w:rPr>
                <w:rFonts w:hint="eastAsia" w:ascii="宋体" w:hAnsi="宋体" w:cs="宋体"/>
                <w:color w:val="auto"/>
                <w:szCs w:val="21"/>
                <w:highlight w:val="none"/>
              </w:rPr>
            </w:pPr>
          </w:p>
        </w:tc>
        <w:tc>
          <w:tcPr>
            <w:tcW w:w="767"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FB7097E">
            <w:pPr>
              <w:spacing w:line="400" w:lineRule="exact"/>
              <w:jc w:val="center"/>
              <w:rPr>
                <w:rFonts w:hint="eastAsia" w:ascii="宋体" w:hAnsi="宋体" w:cs="宋体"/>
                <w:color w:val="auto"/>
                <w:szCs w:val="21"/>
                <w:highlight w:val="none"/>
              </w:rPr>
            </w:pPr>
          </w:p>
        </w:tc>
      </w:tr>
    </w:tbl>
    <w:p w14:paraId="7CF25571">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注：</w:t>
      </w:r>
    </w:p>
    <w:p w14:paraId="5B154C9F">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应对照磋商文件服务要求等要求，所响应标的物与磋商文件的规定有偏离的，应在此表中申明与服务要求条文的偏差和例外。</w:t>
      </w:r>
    </w:p>
    <w:p w14:paraId="5CB3362B">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2、未在上表中说明的，如在响应文件其他内容中已有文字说明的，则以已有文字说明为准，否则，将被认为完全响应磋商文件的规定。但该表不作为</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对所响应标的物关于服务要求等详细描述和说明的替代。</w:t>
      </w:r>
    </w:p>
    <w:p w14:paraId="453A4A32">
      <w:pPr>
        <w:spacing w:line="360" w:lineRule="auto"/>
        <w:ind w:firstLine="420"/>
        <w:rPr>
          <w:rFonts w:hint="eastAsia" w:ascii="宋体" w:hAnsi="宋体" w:cs="宋体"/>
          <w:color w:val="auto"/>
          <w:szCs w:val="21"/>
          <w:highlight w:val="none"/>
        </w:rPr>
      </w:pPr>
    </w:p>
    <w:p w14:paraId="3CC8C38E">
      <w:pPr>
        <w:spacing w:line="360" w:lineRule="auto"/>
        <w:ind w:firstLine="420"/>
        <w:rPr>
          <w:rFonts w:hint="eastAsia" w:ascii="宋体" w:hAnsi="宋体" w:cs="宋体"/>
          <w:color w:val="auto"/>
          <w:szCs w:val="21"/>
          <w:highlight w:val="none"/>
        </w:rPr>
      </w:pPr>
    </w:p>
    <w:p w14:paraId="5D67D10C">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7D130F83">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42458E1E">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682C6D10">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cs="宋体"/>
          <w:b/>
          <w:color w:val="auto"/>
          <w:sz w:val="24"/>
          <w:szCs w:val="24"/>
          <w:highlight w:val="none"/>
          <w:lang w:val="en-US" w:eastAsia="zh-CN"/>
        </w:rPr>
        <w:t>6</w:t>
      </w:r>
      <w:r>
        <w:rPr>
          <w:rFonts w:hint="eastAsia" w:ascii="宋体" w:hAnsi="宋体" w:cs="宋体"/>
          <w:b/>
          <w:color w:val="auto"/>
          <w:sz w:val="24"/>
          <w:szCs w:val="24"/>
          <w:highlight w:val="none"/>
        </w:rPr>
        <w:t>、商务条款偏离表</w:t>
      </w:r>
    </w:p>
    <w:p w14:paraId="32C1543B">
      <w:pPr>
        <w:spacing w:line="360" w:lineRule="auto"/>
        <w:jc w:val="left"/>
        <w:rPr>
          <w:rFonts w:hint="eastAsia" w:ascii="宋体" w:hAnsi="宋体" w:cs="宋体"/>
          <w:b/>
          <w:color w:val="auto"/>
          <w:sz w:val="24"/>
          <w:szCs w:val="24"/>
          <w:highlight w:val="none"/>
        </w:rPr>
      </w:pPr>
    </w:p>
    <w:p w14:paraId="6432A7AE">
      <w:pPr>
        <w:spacing w:line="360" w:lineRule="auto"/>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商务条款偏离表</w:t>
      </w:r>
    </w:p>
    <w:p w14:paraId="650272A4">
      <w:pPr>
        <w:spacing w:line="360" w:lineRule="auto"/>
        <w:rPr>
          <w:rFonts w:hint="eastAsia" w:ascii="宋体" w:hAnsi="宋体" w:cs="宋体"/>
          <w:color w:val="auto"/>
          <w:szCs w:val="21"/>
          <w:highlight w:val="none"/>
        </w:rPr>
      </w:pPr>
    </w:p>
    <w:tbl>
      <w:tblPr>
        <w:tblStyle w:val="38"/>
        <w:tblW w:w="5000" w:type="pct"/>
        <w:jc w:val="center"/>
        <w:tblLayout w:type="autofit"/>
        <w:tblCellMar>
          <w:top w:w="0" w:type="dxa"/>
          <w:left w:w="0" w:type="dxa"/>
          <w:bottom w:w="0" w:type="dxa"/>
          <w:right w:w="0" w:type="dxa"/>
        </w:tblCellMar>
      </w:tblPr>
      <w:tblGrid>
        <w:gridCol w:w="958"/>
        <w:gridCol w:w="2212"/>
        <w:gridCol w:w="2652"/>
        <w:gridCol w:w="2675"/>
        <w:gridCol w:w="1085"/>
      </w:tblGrid>
      <w:tr w14:paraId="58990D7E">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A44851E">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00763B4">
            <w:pPr>
              <w:jc w:val="center"/>
              <w:rPr>
                <w:rFonts w:hint="eastAsia" w:ascii="宋体" w:hAnsi="宋体" w:cs="宋体"/>
                <w:color w:val="auto"/>
                <w:szCs w:val="21"/>
                <w:highlight w:val="none"/>
              </w:rPr>
            </w:pPr>
            <w:r>
              <w:rPr>
                <w:rFonts w:hint="eastAsia" w:ascii="宋体" w:hAnsi="宋体" w:cs="宋体"/>
                <w:color w:val="auto"/>
                <w:szCs w:val="21"/>
                <w:highlight w:val="none"/>
              </w:rPr>
              <w:t>磋商文件条目号</w:t>
            </w: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2B60373">
            <w:pPr>
              <w:jc w:val="center"/>
              <w:rPr>
                <w:rFonts w:hint="eastAsia" w:ascii="宋体" w:hAnsi="宋体" w:cs="宋体"/>
                <w:color w:val="auto"/>
                <w:szCs w:val="21"/>
                <w:highlight w:val="none"/>
              </w:rPr>
            </w:pPr>
            <w:r>
              <w:rPr>
                <w:rFonts w:hint="eastAsia" w:ascii="宋体" w:hAnsi="宋体" w:cs="宋体"/>
                <w:color w:val="auto"/>
                <w:szCs w:val="21"/>
                <w:highlight w:val="none"/>
              </w:rPr>
              <w:t>磋商文件的商务条款</w:t>
            </w: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DD9631F">
            <w:pPr>
              <w:jc w:val="center"/>
              <w:rPr>
                <w:rFonts w:hint="eastAsia" w:ascii="宋体" w:hAnsi="宋体" w:cs="宋体"/>
                <w:color w:val="auto"/>
                <w:szCs w:val="21"/>
                <w:highlight w:val="none"/>
              </w:rPr>
            </w:pPr>
            <w:r>
              <w:rPr>
                <w:rFonts w:hint="eastAsia" w:ascii="宋体" w:hAnsi="宋体" w:cs="宋体"/>
                <w:color w:val="auto"/>
                <w:szCs w:val="21"/>
                <w:highlight w:val="none"/>
              </w:rPr>
              <w:t>响应文件的商务条款</w:t>
            </w: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438A200">
            <w:pPr>
              <w:jc w:val="center"/>
              <w:rPr>
                <w:rFonts w:hint="eastAsia" w:ascii="宋体" w:hAnsi="宋体" w:cs="宋体"/>
                <w:color w:val="auto"/>
                <w:szCs w:val="21"/>
                <w:highlight w:val="none"/>
              </w:rPr>
            </w:pPr>
            <w:r>
              <w:rPr>
                <w:rFonts w:hint="eastAsia" w:ascii="宋体" w:hAnsi="宋体" w:cs="宋体"/>
                <w:color w:val="auto"/>
                <w:szCs w:val="21"/>
                <w:highlight w:val="none"/>
              </w:rPr>
              <w:t>说明</w:t>
            </w:r>
          </w:p>
        </w:tc>
      </w:tr>
      <w:tr w14:paraId="2BC38652">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BF7CD67">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34005BD">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0DE5056">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88D4E4D">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D6EF3EB">
            <w:pPr>
              <w:jc w:val="center"/>
              <w:rPr>
                <w:rFonts w:hint="eastAsia" w:ascii="宋体" w:hAnsi="宋体" w:cs="宋体"/>
                <w:color w:val="auto"/>
                <w:szCs w:val="21"/>
                <w:highlight w:val="none"/>
              </w:rPr>
            </w:pPr>
          </w:p>
        </w:tc>
      </w:tr>
      <w:tr w14:paraId="3C0238CC">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362FA3E">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9E2F9CE">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A8165EB">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7024282">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EAA7137">
            <w:pPr>
              <w:jc w:val="center"/>
              <w:rPr>
                <w:rFonts w:hint="eastAsia" w:ascii="宋体" w:hAnsi="宋体" w:cs="宋体"/>
                <w:color w:val="auto"/>
                <w:szCs w:val="21"/>
                <w:highlight w:val="none"/>
              </w:rPr>
            </w:pPr>
          </w:p>
        </w:tc>
      </w:tr>
      <w:tr w14:paraId="6FF5A2D2">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4CDDD2E">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DAB1EA1">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59A91E7">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7037023">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E2A8484">
            <w:pPr>
              <w:jc w:val="center"/>
              <w:rPr>
                <w:rFonts w:hint="eastAsia" w:ascii="宋体" w:hAnsi="宋体" w:cs="宋体"/>
                <w:color w:val="auto"/>
                <w:szCs w:val="21"/>
                <w:highlight w:val="none"/>
              </w:rPr>
            </w:pPr>
          </w:p>
        </w:tc>
      </w:tr>
      <w:tr w14:paraId="35CC9567">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764C4B9">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C09E2F2">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CD9134A">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B7CF2E1">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447D155">
            <w:pPr>
              <w:jc w:val="center"/>
              <w:rPr>
                <w:rFonts w:hint="eastAsia" w:ascii="宋体" w:hAnsi="宋体" w:cs="宋体"/>
                <w:color w:val="auto"/>
                <w:szCs w:val="21"/>
                <w:highlight w:val="none"/>
              </w:rPr>
            </w:pPr>
          </w:p>
        </w:tc>
      </w:tr>
      <w:tr w14:paraId="77FD9FF4">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3B37ED74">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91199C2">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EE3446D">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ACD9E9D">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352CC765">
            <w:pPr>
              <w:jc w:val="center"/>
              <w:rPr>
                <w:rFonts w:hint="eastAsia" w:ascii="宋体" w:hAnsi="宋体" w:cs="宋体"/>
                <w:color w:val="auto"/>
                <w:szCs w:val="21"/>
                <w:highlight w:val="none"/>
              </w:rPr>
            </w:pPr>
          </w:p>
        </w:tc>
      </w:tr>
      <w:tr w14:paraId="5778E793">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186F7412">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448B0ADA">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89A1C00">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0A1397D">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7BF0C8F">
            <w:pPr>
              <w:jc w:val="center"/>
              <w:rPr>
                <w:rFonts w:hint="eastAsia" w:ascii="宋体" w:hAnsi="宋体" w:cs="宋体"/>
                <w:color w:val="auto"/>
                <w:szCs w:val="21"/>
                <w:highlight w:val="none"/>
              </w:rPr>
            </w:pPr>
          </w:p>
        </w:tc>
      </w:tr>
      <w:tr w14:paraId="5714D551">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4FEAF9EF">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E63E3AD">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699D59F">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527C3374">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1C3B87CB">
            <w:pPr>
              <w:jc w:val="center"/>
              <w:rPr>
                <w:rFonts w:hint="eastAsia" w:ascii="宋体" w:hAnsi="宋体" w:cs="宋体"/>
                <w:color w:val="auto"/>
                <w:szCs w:val="21"/>
                <w:highlight w:val="none"/>
              </w:rPr>
            </w:pPr>
          </w:p>
        </w:tc>
      </w:tr>
      <w:tr w14:paraId="1210D86E">
        <w:tblPrEx>
          <w:tblCellMar>
            <w:top w:w="0" w:type="dxa"/>
            <w:left w:w="0" w:type="dxa"/>
            <w:bottom w:w="0" w:type="dxa"/>
            <w:right w:w="0" w:type="dxa"/>
          </w:tblCellMar>
        </w:tblPrEx>
        <w:trPr>
          <w:trHeight w:val="567" w:hRule="atLeast"/>
          <w:jc w:val="center"/>
        </w:trPr>
        <w:tc>
          <w:tcPr>
            <w:tcW w:w="500" w:type="pct"/>
            <w:tcBorders>
              <w:top w:val="single" w:color="000000" w:sz="4" w:space="0"/>
              <w:left w:val="single" w:color="000000" w:sz="4" w:space="0"/>
              <w:bottom w:val="single" w:color="000000" w:sz="4" w:space="0"/>
              <w:right w:val="single" w:color="000000" w:sz="4" w:space="0"/>
            </w:tcBorders>
            <w:noWrap w:val="0"/>
            <w:tcMar>
              <w:left w:w="108" w:type="dxa"/>
              <w:right w:w="108" w:type="dxa"/>
            </w:tcMar>
            <w:vAlign w:val="center"/>
          </w:tcPr>
          <w:p w14:paraId="62831374">
            <w:pPr>
              <w:jc w:val="center"/>
              <w:rPr>
                <w:rFonts w:hint="eastAsia" w:ascii="宋体" w:hAnsi="宋体" w:cs="宋体"/>
                <w:color w:val="auto"/>
                <w:szCs w:val="21"/>
                <w:highlight w:val="none"/>
              </w:rPr>
            </w:pPr>
          </w:p>
        </w:tc>
        <w:tc>
          <w:tcPr>
            <w:tcW w:w="115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086DA7B6">
            <w:pPr>
              <w:jc w:val="center"/>
              <w:rPr>
                <w:rFonts w:hint="eastAsia" w:ascii="宋体" w:hAnsi="宋体" w:cs="宋体"/>
                <w:color w:val="auto"/>
                <w:szCs w:val="21"/>
                <w:highlight w:val="none"/>
              </w:rPr>
            </w:pPr>
          </w:p>
        </w:tc>
        <w:tc>
          <w:tcPr>
            <w:tcW w:w="1384"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79E9553">
            <w:pPr>
              <w:jc w:val="center"/>
              <w:rPr>
                <w:rFonts w:hint="eastAsia" w:ascii="宋体" w:hAnsi="宋体" w:cs="宋体"/>
                <w:color w:val="auto"/>
                <w:szCs w:val="21"/>
                <w:highlight w:val="none"/>
              </w:rPr>
            </w:pPr>
          </w:p>
        </w:tc>
        <w:tc>
          <w:tcPr>
            <w:tcW w:w="139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27084C85">
            <w:pPr>
              <w:jc w:val="center"/>
              <w:rPr>
                <w:rFonts w:hint="eastAsia" w:ascii="宋体" w:hAnsi="宋体" w:cs="宋体"/>
                <w:color w:val="auto"/>
                <w:szCs w:val="21"/>
                <w:highlight w:val="none"/>
              </w:rPr>
            </w:pPr>
          </w:p>
        </w:tc>
        <w:tc>
          <w:tcPr>
            <w:tcW w:w="566" w:type="pct"/>
            <w:tcBorders>
              <w:top w:val="single" w:color="000000" w:sz="4" w:space="0"/>
              <w:left w:val="nil"/>
              <w:bottom w:val="single" w:color="000000" w:sz="4" w:space="0"/>
              <w:right w:val="single" w:color="000000" w:sz="4" w:space="0"/>
            </w:tcBorders>
            <w:noWrap w:val="0"/>
            <w:tcMar>
              <w:left w:w="108" w:type="dxa"/>
              <w:right w:w="108" w:type="dxa"/>
            </w:tcMar>
            <w:vAlign w:val="center"/>
          </w:tcPr>
          <w:p w14:paraId="7FFE0389">
            <w:pPr>
              <w:jc w:val="center"/>
              <w:rPr>
                <w:rFonts w:hint="eastAsia" w:ascii="宋体" w:hAnsi="宋体" w:cs="宋体"/>
                <w:color w:val="auto"/>
                <w:szCs w:val="21"/>
                <w:highlight w:val="none"/>
              </w:rPr>
            </w:pPr>
          </w:p>
        </w:tc>
      </w:tr>
    </w:tbl>
    <w:p w14:paraId="110C7249">
      <w:pPr>
        <w:pStyle w:val="269"/>
        <w:ind w:firstLine="420"/>
        <w:rPr>
          <w:rFonts w:hint="eastAsia" w:hAnsi="宋体" w:cs="宋体"/>
          <w:color w:val="auto"/>
          <w:szCs w:val="21"/>
          <w:highlight w:val="none"/>
        </w:rPr>
      </w:pPr>
    </w:p>
    <w:p w14:paraId="5D904A6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的磋商文件（除服务要求部分）与磋商文件规定的有偏离的，应在此表中说明。未在上表中说明的，如在响应文件其他内容中已有文字说明的，则以已有文字说明为准，否则，将被认为完全响应磋商文件的规定。但该表不作为</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对所响应标的物关于商务条款等详细描述和说明的替代。</w:t>
      </w:r>
    </w:p>
    <w:p w14:paraId="25732E85">
      <w:pPr>
        <w:spacing w:line="360" w:lineRule="auto"/>
        <w:ind w:firstLine="420"/>
        <w:rPr>
          <w:rFonts w:hint="eastAsia" w:ascii="宋体" w:hAnsi="宋体" w:cs="宋体"/>
          <w:color w:val="auto"/>
          <w:szCs w:val="21"/>
          <w:highlight w:val="none"/>
        </w:rPr>
      </w:pPr>
    </w:p>
    <w:p w14:paraId="652ECA77">
      <w:pPr>
        <w:spacing w:line="360" w:lineRule="auto"/>
        <w:ind w:firstLine="420"/>
        <w:rPr>
          <w:rFonts w:hint="eastAsia" w:ascii="宋体" w:hAnsi="宋体" w:cs="宋体"/>
          <w:color w:val="auto"/>
          <w:szCs w:val="21"/>
          <w:highlight w:val="none"/>
        </w:rPr>
      </w:pPr>
    </w:p>
    <w:p w14:paraId="7218034B">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1B79DC36">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3195B7D4">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71DA61BF">
      <w:pPr>
        <w:spacing w:line="360" w:lineRule="auto"/>
        <w:ind w:firstLine="420"/>
        <w:jc w:val="left"/>
        <w:rPr>
          <w:rFonts w:hint="eastAsia" w:ascii="宋体" w:hAnsi="宋体" w:cs="宋体"/>
          <w:color w:val="auto"/>
          <w:szCs w:val="21"/>
          <w:highlight w:val="none"/>
        </w:rPr>
      </w:pPr>
    </w:p>
    <w:p w14:paraId="79CA26A5">
      <w:pPr>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7CB40330">
      <w:pPr>
        <w:pStyle w:val="269"/>
        <w:ind w:firstLine="420"/>
        <w:rPr>
          <w:rFonts w:hint="eastAsia" w:hAnsi="宋体" w:cs="宋体"/>
          <w:color w:val="auto"/>
          <w:szCs w:val="21"/>
          <w:highlight w:val="none"/>
          <w:lang w:val="zh-CN"/>
        </w:rPr>
      </w:pPr>
    </w:p>
    <w:p w14:paraId="38689D40">
      <w:pPr>
        <w:pStyle w:val="269"/>
        <w:ind w:firstLine="420"/>
        <w:rPr>
          <w:rFonts w:hint="eastAsia" w:hAnsi="宋体" w:cs="宋体"/>
          <w:color w:val="auto"/>
          <w:szCs w:val="21"/>
          <w:highlight w:val="none"/>
          <w:lang w:val="zh-CN"/>
        </w:rPr>
      </w:pPr>
    </w:p>
    <w:p w14:paraId="7C4DFC60">
      <w:pPr>
        <w:pStyle w:val="37"/>
        <w:spacing w:after="0"/>
        <w:ind w:left="0"/>
        <w:rPr>
          <w:rFonts w:hint="eastAsia" w:ascii="宋体" w:hAnsi="宋体" w:cs="宋体"/>
          <w:color w:val="auto"/>
          <w:szCs w:val="21"/>
          <w:highlight w:val="none"/>
          <w:lang w:val="zh-CN"/>
        </w:rPr>
      </w:pPr>
    </w:p>
    <w:p w14:paraId="42173007">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p>
    <w:p w14:paraId="70B4E409">
      <w:pPr>
        <w:tabs>
          <w:tab w:val="left" w:pos="8930"/>
          <w:tab w:val="left" w:pos="9306"/>
        </w:tabs>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7</w:t>
      </w:r>
      <w:r>
        <w:rPr>
          <w:rFonts w:hint="eastAsia" w:ascii="宋体" w:hAnsi="宋体" w:cs="宋体"/>
          <w:b/>
          <w:bCs/>
          <w:color w:val="auto"/>
          <w:sz w:val="24"/>
          <w:szCs w:val="24"/>
          <w:highlight w:val="none"/>
        </w:rPr>
        <w:t>、投入本项目人员配备一览表</w:t>
      </w:r>
    </w:p>
    <w:p w14:paraId="5565B9F5">
      <w:pPr>
        <w:spacing w:before="218" w:line="219" w:lineRule="auto"/>
        <w:ind w:left="825"/>
        <w:jc w:val="center"/>
        <w:rPr>
          <w:rFonts w:hint="eastAsia" w:ascii="宋体" w:hAnsi="宋体" w:cs="宋体"/>
          <w:b/>
          <w:color w:val="auto"/>
          <w:spacing w:val="-1"/>
          <w:sz w:val="24"/>
          <w:szCs w:val="24"/>
          <w:highlight w:val="none"/>
        </w:rPr>
      </w:pPr>
      <w:r>
        <w:rPr>
          <w:rFonts w:hint="eastAsia" w:ascii="宋体" w:hAnsi="宋体" w:cs="宋体"/>
          <w:b/>
          <w:color w:val="auto"/>
          <w:spacing w:val="-1"/>
          <w:sz w:val="24"/>
          <w:szCs w:val="24"/>
          <w:highlight w:val="none"/>
        </w:rPr>
        <w:t>投入本项目人员配备一览表</w:t>
      </w:r>
    </w:p>
    <w:p w14:paraId="1C1600D0">
      <w:pPr>
        <w:rPr>
          <w:rFonts w:hint="eastAsia" w:ascii="宋体" w:hAnsi="宋体" w:cs="宋体"/>
          <w:color w:val="auto"/>
          <w:highlight w:val="none"/>
        </w:rPr>
      </w:pPr>
    </w:p>
    <w:p w14:paraId="0AD9E5A3">
      <w:pPr>
        <w:spacing w:line="208" w:lineRule="exact"/>
        <w:rPr>
          <w:rFonts w:hint="eastAsia" w:ascii="宋体" w:hAnsi="宋体" w:cs="宋体"/>
          <w:color w:val="auto"/>
          <w:highlight w:val="none"/>
        </w:rPr>
      </w:pPr>
    </w:p>
    <w:tbl>
      <w:tblPr>
        <w:tblStyle w:val="286"/>
        <w:tblW w:w="82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1247"/>
        <w:gridCol w:w="1182"/>
        <w:gridCol w:w="921"/>
        <w:gridCol w:w="797"/>
        <w:gridCol w:w="955"/>
        <w:gridCol w:w="1033"/>
        <w:gridCol w:w="1397"/>
      </w:tblGrid>
      <w:tr w14:paraId="68900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764" w:type="dxa"/>
            <w:noWrap w:val="0"/>
            <w:vAlign w:val="center"/>
          </w:tcPr>
          <w:p w14:paraId="521A817E">
            <w:pPr>
              <w:jc w:val="center"/>
              <w:rPr>
                <w:rFonts w:hint="eastAsia" w:ascii="宋体" w:hAnsi="宋体" w:cs="宋体"/>
                <w:color w:val="auto"/>
                <w:highlight w:val="none"/>
              </w:rPr>
            </w:pPr>
            <w:r>
              <w:rPr>
                <w:rFonts w:hint="eastAsia" w:ascii="宋体" w:hAnsi="宋体" w:cs="宋体"/>
                <w:color w:val="auto"/>
                <w:spacing w:val="-2"/>
                <w:highlight w:val="none"/>
              </w:rPr>
              <w:t>序</w:t>
            </w:r>
            <w:r>
              <w:rPr>
                <w:rFonts w:hint="eastAsia" w:ascii="宋体" w:hAnsi="宋体" w:cs="宋体"/>
                <w:color w:val="auto"/>
                <w:spacing w:val="-1"/>
                <w:highlight w:val="none"/>
              </w:rPr>
              <w:t>号</w:t>
            </w:r>
          </w:p>
        </w:tc>
        <w:tc>
          <w:tcPr>
            <w:tcW w:w="1247" w:type="dxa"/>
            <w:shd w:val="clear" w:color="auto" w:fill="auto"/>
            <w:noWrap w:val="0"/>
            <w:vAlign w:val="center"/>
          </w:tcPr>
          <w:p w14:paraId="15CE4602">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岗位</w:t>
            </w:r>
          </w:p>
        </w:tc>
        <w:tc>
          <w:tcPr>
            <w:tcW w:w="1182" w:type="dxa"/>
            <w:shd w:val="clear" w:color="auto" w:fill="auto"/>
            <w:noWrap w:val="0"/>
            <w:vAlign w:val="center"/>
          </w:tcPr>
          <w:p w14:paraId="0A0143A8">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姓名</w:t>
            </w:r>
          </w:p>
        </w:tc>
        <w:tc>
          <w:tcPr>
            <w:tcW w:w="921" w:type="dxa"/>
            <w:shd w:val="clear" w:color="auto" w:fill="auto"/>
            <w:noWrap w:val="0"/>
            <w:vAlign w:val="center"/>
          </w:tcPr>
          <w:p w14:paraId="16F1D7FA">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性别</w:t>
            </w:r>
          </w:p>
        </w:tc>
        <w:tc>
          <w:tcPr>
            <w:tcW w:w="797" w:type="dxa"/>
            <w:shd w:val="clear" w:color="auto" w:fill="auto"/>
            <w:noWrap w:val="0"/>
            <w:vAlign w:val="center"/>
          </w:tcPr>
          <w:p w14:paraId="67DB22FA">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年龄</w:t>
            </w:r>
          </w:p>
        </w:tc>
        <w:tc>
          <w:tcPr>
            <w:tcW w:w="955" w:type="dxa"/>
            <w:shd w:val="clear" w:color="auto" w:fill="auto"/>
            <w:noWrap w:val="0"/>
            <w:vAlign w:val="center"/>
          </w:tcPr>
          <w:p w14:paraId="7D48A538">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学历</w:t>
            </w:r>
          </w:p>
        </w:tc>
        <w:tc>
          <w:tcPr>
            <w:tcW w:w="1033" w:type="dxa"/>
            <w:shd w:val="clear" w:color="auto" w:fill="auto"/>
            <w:noWrap w:val="0"/>
            <w:vAlign w:val="center"/>
          </w:tcPr>
          <w:p w14:paraId="08C63CA2">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职称</w:t>
            </w:r>
          </w:p>
        </w:tc>
        <w:tc>
          <w:tcPr>
            <w:tcW w:w="1397" w:type="dxa"/>
            <w:shd w:val="clear" w:color="auto" w:fill="auto"/>
            <w:noWrap w:val="0"/>
            <w:vAlign w:val="center"/>
          </w:tcPr>
          <w:p w14:paraId="3155DC43">
            <w:pPr>
              <w:widowControl w:val="0"/>
              <w:ind w:left="0"/>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备注</w:t>
            </w:r>
          </w:p>
        </w:tc>
      </w:tr>
      <w:tr w14:paraId="700C22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jc w:val="center"/>
        </w:trPr>
        <w:tc>
          <w:tcPr>
            <w:tcW w:w="764" w:type="dxa"/>
            <w:noWrap w:val="0"/>
            <w:vAlign w:val="center"/>
          </w:tcPr>
          <w:p w14:paraId="65E05566">
            <w:pPr>
              <w:jc w:val="center"/>
              <w:rPr>
                <w:rFonts w:hint="eastAsia" w:ascii="宋体" w:hAnsi="宋体" w:cs="宋体"/>
                <w:color w:val="auto"/>
                <w:highlight w:val="none"/>
              </w:rPr>
            </w:pPr>
            <w:r>
              <w:rPr>
                <w:rFonts w:hint="eastAsia" w:ascii="宋体" w:hAnsi="宋体" w:cs="宋体"/>
                <w:color w:val="auto"/>
                <w:highlight w:val="none"/>
              </w:rPr>
              <w:t>1</w:t>
            </w:r>
          </w:p>
        </w:tc>
        <w:tc>
          <w:tcPr>
            <w:tcW w:w="1247" w:type="dxa"/>
            <w:noWrap w:val="0"/>
            <w:vAlign w:val="center"/>
          </w:tcPr>
          <w:p w14:paraId="1486DE8B">
            <w:pPr>
              <w:jc w:val="center"/>
              <w:rPr>
                <w:rFonts w:hint="eastAsia" w:ascii="宋体" w:hAnsi="宋体" w:cs="宋体"/>
                <w:color w:val="auto"/>
                <w:highlight w:val="none"/>
              </w:rPr>
            </w:pPr>
          </w:p>
        </w:tc>
        <w:tc>
          <w:tcPr>
            <w:tcW w:w="1182" w:type="dxa"/>
            <w:noWrap w:val="0"/>
            <w:vAlign w:val="center"/>
          </w:tcPr>
          <w:p w14:paraId="1AF1057D">
            <w:pPr>
              <w:jc w:val="center"/>
              <w:rPr>
                <w:rFonts w:hint="eastAsia" w:ascii="宋体" w:hAnsi="宋体" w:cs="宋体"/>
                <w:color w:val="auto"/>
                <w:highlight w:val="none"/>
              </w:rPr>
            </w:pPr>
          </w:p>
        </w:tc>
        <w:tc>
          <w:tcPr>
            <w:tcW w:w="921" w:type="dxa"/>
            <w:noWrap w:val="0"/>
            <w:vAlign w:val="center"/>
          </w:tcPr>
          <w:p w14:paraId="65B3BB32">
            <w:pPr>
              <w:jc w:val="center"/>
              <w:rPr>
                <w:rFonts w:hint="eastAsia" w:ascii="宋体" w:hAnsi="宋体" w:cs="宋体"/>
                <w:color w:val="auto"/>
                <w:highlight w:val="none"/>
              </w:rPr>
            </w:pPr>
          </w:p>
        </w:tc>
        <w:tc>
          <w:tcPr>
            <w:tcW w:w="797" w:type="dxa"/>
            <w:noWrap w:val="0"/>
            <w:vAlign w:val="center"/>
          </w:tcPr>
          <w:p w14:paraId="52DAD112">
            <w:pPr>
              <w:jc w:val="center"/>
              <w:rPr>
                <w:rFonts w:hint="eastAsia" w:ascii="宋体" w:hAnsi="宋体" w:cs="宋体"/>
                <w:color w:val="auto"/>
                <w:highlight w:val="none"/>
              </w:rPr>
            </w:pPr>
          </w:p>
        </w:tc>
        <w:tc>
          <w:tcPr>
            <w:tcW w:w="955" w:type="dxa"/>
            <w:noWrap w:val="0"/>
            <w:vAlign w:val="center"/>
          </w:tcPr>
          <w:p w14:paraId="694CEC56">
            <w:pPr>
              <w:jc w:val="center"/>
              <w:rPr>
                <w:rFonts w:hint="eastAsia" w:ascii="宋体" w:hAnsi="宋体" w:cs="宋体"/>
                <w:color w:val="auto"/>
                <w:highlight w:val="none"/>
              </w:rPr>
            </w:pPr>
          </w:p>
        </w:tc>
        <w:tc>
          <w:tcPr>
            <w:tcW w:w="1033" w:type="dxa"/>
            <w:noWrap w:val="0"/>
            <w:vAlign w:val="center"/>
          </w:tcPr>
          <w:p w14:paraId="2F18F7EC">
            <w:pPr>
              <w:jc w:val="center"/>
              <w:rPr>
                <w:rFonts w:hint="eastAsia" w:ascii="宋体" w:hAnsi="宋体" w:cs="宋体"/>
                <w:color w:val="auto"/>
                <w:highlight w:val="none"/>
              </w:rPr>
            </w:pPr>
          </w:p>
        </w:tc>
        <w:tc>
          <w:tcPr>
            <w:tcW w:w="1397" w:type="dxa"/>
            <w:noWrap w:val="0"/>
            <w:vAlign w:val="center"/>
          </w:tcPr>
          <w:p w14:paraId="566E2587">
            <w:pPr>
              <w:jc w:val="center"/>
              <w:rPr>
                <w:rFonts w:hint="eastAsia" w:ascii="宋体" w:hAnsi="宋体" w:cs="宋体"/>
                <w:color w:val="auto"/>
                <w:highlight w:val="none"/>
              </w:rPr>
            </w:pPr>
          </w:p>
        </w:tc>
      </w:tr>
      <w:tr w14:paraId="633CD2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764" w:type="dxa"/>
            <w:noWrap w:val="0"/>
            <w:vAlign w:val="center"/>
          </w:tcPr>
          <w:p w14:paraId="5F4AC23C">
            <w:pPr>
              <w:jc w:val="center"/>
              <w:rPr>
                <w:rFonts w:hint="eastAsia" w:ascii="宋体" w:hAnsi="宋体" w:cs="宋体"/>
                <w:color w:val="auto"/>
                <w:highlight w:val="none"/>
              </w:rPr>
            </w:pPr>
            <w:r>
              <w:rPr>
                <w:rFonts w:hint="eastAsia" w:ascii="宋体" w:hAnsi="宋体" w:cs="宋体"/>
                <w:color w:val="auto"/>
                <w:highlight w:val="none"/>
              </w:rPr>
              <w:t>2</w:t>
            </w:r>
          </w:p>
        </w:tc>
        <w:tc>
          <w:tcPr>
            <w:tcW w:w="1247" w:type="dxa"/>
            <w:noWrap w:val="0"/>
            <w:vAlign w:val="center"/>
          </w:tcPr>
          <w:p w14:paraId="0FF3982C">
            <w:pPr>
              <w:jc w:val="center"/>
              <w:rPr>
                <w:rFonts w:hint="eastAsia" w:ascii="宋体" w:hAnsi="宋体" w:cs="宋体"/>
                <w:color w:val="auto"/>
                <w:highlight w:val="none"/>
              </w:rPr>
            </w:pPr>
          </w:p>
        </w:tc>
        <w:tc>
          <w:tcPr>
            <w:tcW w:w="1182" w:type="dxa"/>
            <w:noWrap w:val="0"/>
            <w:vAlign w:val="center"/>
          </w:tcPr>
          <w:p w14:paraId="1327576B">
            <w:pPr>
              <w:jc w:val="center"/>
              <w:rPr>
                <w:rFonts w:hint="eastAsia" w:ascii="宋体" w:hAnsi="宋体" w:cs="宋体"/>
                <w:color w:val="auto"/>
                <w:highlight w:val="none"/>
              </w:rPr>
            </w:pPr>
          </w:p>
        </w:tc>
        <w:tc>
          <w:tcPr>
            <w:tcW w:w="921" w:type="dxa"/>
            <w:noWrap w:val="0"/>
            <w:vAlign w:val="center"/>
          </w:tcPr>
          <w:p w14:paraId="7D9BACE4">
            <w:pPr>
              <w:jc w:val="center"/>
              <w:rPr>
                <w:rFonts w:hint="eastAsia" w:ascii="宋体" w:hAnsi="宋体" w:cs="宋体"/>
                <w:color w:val="auto"/>
                <w:highlight w:val="none"/>
              </w:rPr>
            </w:pPr>
          </w:p>
        </w:tc>
        <w:tc>
          <w:tcPr>
            <w:tcW w:w="797" w:type="dxa"/>
            <w:noWrap w:val="0"/>
            <w:vAlign w:val="center"/>
          </w:tcPr>
          <w:p w14:paraId="3EA0EB1D">
            <w:pPr>
              <w:jc w:val="center"/>
              <w:rPr>
                <w:rFonts w:hint="eastAsia" w:ascii="宋体" w:hAnsi="宋体" w:cs="宋体"/>
                <w:color w:val="auto"/>
                <w:highlight w:val="none"/>
              </w:rPr>
            </w:pPr>
          </w:p>
        </w:tc>
        <w:tc>
          <w:tcPr>
            <w:tcW w:w="955" w:type="dxa"/>
            <w:noWrap w:val="0"/>
            <w:vAlign w:val="center"/>
          </w:tcPr>
          <w:p w14:paraId="08A53928">
            <w:pPr>
              <w:jc w:val="center"/>
              <w:rPr>
                <w:rFonts w:hint="eastAsia" w:ascii="宋体" w:hAnsi="宋体" w:cs="宋体"/>
                <w:color w:val="auto"/>
                <w:highlight w:val="none"/>
              </w:rPr>
            </w:pPr>
          </w:p>
        </w:tc>
        <w:tc>
          <w:tcPr>
            <w:tcW w:w="1033" w:type="dxa"/>
            <w:noWrap w:val="0"/>
            <w:vAlign w:val="center"/>
          </w:tcPr>
          <w:p w14:paraId="1829E30B">
            <w:pPr>
              <w:jc w:val="center"/>
              <w:rPr>
                <w:rFonts w:hint="eastAsia" w:ascii="宋体" w:hAnsi="宋体" w:cs="宋体"/>
                <w:color w:val="auto"/>
                <w:highlight w:val="none"/>
              </w:rPr>
            </w:pPr>
          </w:p>
        </w:tc>
        <w:tc>
          <w:tcPr>
            <w:tcW w:w="1397" w:type="dxa"/>
            <w:noWrap w:val="0"/>
            <w:vAlign w:val="center"/>
          </w:tcPr>
          <w:p w14:paraId="49404832">
            <w:pPr>
              <w:jc w:val="center"/>
              <w:rPr>
                <w:rFonts w:hint="eastAsia" w:ascii="宋体" w:hAnsi="宋体" w:cs="宋体"/>
                <w:color w:val="auto"/>
                <w:highlight w:val="none"/>
              </w:rPr>
            </w:pPr>
          </w:p>
        </w:tc>
      </w:tr>
      <w:tr w14:paraId="3060E1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jc w:val="center"/>
        </w:trPr>
        <w:tc>
          <w:tcPr>
            <w:tcW w:w="764" w:type="dxa"/>
            <w:noWrap w:val="0"/>
            <w:vAlign w:val="center"/>
          </w:tcPr>
          <w:p w14:paraId="506A618F">
            <w:pPr>
              <w:jc w:val="center"/>
              <w:rPr>
                <w:rFonts w:hint="eastAsia" w:ascii="宋体" w:hAnsi="宋体" w:cs="宋体"/>
                <w:color w:val="auto"/>
                <w:highlight w:val="none"/>
              </w:rPr>
            </w:pPr>
            <w:r>
              <w:rPr>
                <w:rFonts w:hint="eastAsia" w:ascii="宋体" w:hAnsi="宋体" w:cs="宋体"/>
                <w:color w:val="auto"/>
                <w:highlight w:val="none"/>
              </w:rPr>
              <w:t>3</w:t>
            </w:r>
          </w:p>
        </w:tc>
        <w:tc>
          <w:tcPr>
            <w:tcW w:w="1247" w:type="dxa"/>
            <w:noWrap w:val="0"/>
            <w:vAlign w:val="center"/>
          </w:tcPr>
          <w:p w14:paraId="3C998FF1">
            <w:pPr>
              <w:jc w:val="center"/>
              <w:rPr>
                <w:rFonts w:hint="eastAsia" w:ascii="宋体" w:hAnsi="宋体" w:cs="宋体"/>
                <w:color w:val="auto"/>
                <w:highlight w:val="none"/>
              </w:rPr>
            </w:pPr>
          </w:p>
        </w:tc>
        <w:tc>
          <w:tcPr>
            <w:tcW w:w="1182" w:type="dxa"/>
            <w:noWrap w:val="0"/>
            <w:vAlign w:val="center"/>
          </w:tcPr>
          <w:p w14:paraId="583F6ACB">
            <w:pPr>
              <w:jc w:val="center"/>
              <w:rPr>
                <w:rFonts w:hint="eastAsia" w:ascii="宋体" w:hAnsi="宋体" w:cs="宋体"/>
                <w:color w:val="auto"/>
                <w:highlight w:val="none"/>
              </w:rPr>
            </w:pPr>
          </w:p>
        </w:tc>
        <w:tc>
          <w:tcPr>
            <w:tcW w:w="921" w:type="dxa"/>
            <w:noWrap w:val="0"/>
            <w:vAlign w:val="center"/>
          </w:tcPr>
          <w:p w14:paraId="72CD5F67">
            <w:pPr>
              <w:jc w:val="center"/>
              <w:rPr>
                <w:rFonts w:hint="eastAsia" w:ascii="宋体" w:hAnsi="宋体" w:cs="宋体"/>
                <w:color w:val="auto"/>
                <w:highlight w:val="none"/>
              </w:rPr>
            </w:pPr>
          </w:p>
        </w:tc>
        <w:tc>
          <w:tcPr>
            <w:tcW w:w="797" w:type="dxa"/>
            <w:noWrap w:val="0"/>
            <w:vAlign w:val="center"/>
          </w:tcPr>
          <w:p w14:paraId="020A34C7">
            <w:pPr>
              <w:jc w:val="center"/>
              <w:rPr>
                <w:rFonts w:hint="eastAsia" w:ascii="宋体" w:hAnsi="宋体" w:cs="宋体"/>
                <w:color w:val="auto"/>
                <w:highlight w:val="none"/>
              </w:rPr>
            </w:pPr>
          </w:p>
        </w:tc>
        <w:tc>
          <w:tcPr>
            <w:tcW w:w="955" w:type="dxa"/>
            <w:noWrap w:val="0"/>
            <w:vAlign w:val="center"/>
          </w:tcPr>
          <w:p w14:paraId="63B8F048">
            <w:pPr>
              <w:jc w:val="center"/>
              <w:rPr>
                <w:rFonts w:hint="eastAsia" w:ascii="宋体" w:hAnsi="宋体" w:cs="宋体"/>
                <w:color w:val="auto"/>
                <w:highlight w:val="none"/>
              </w:rPr>
            </w:pPr>
          </w:p>
        </w:tc>
        <w:tc>
          <w:tcPr>
            <w:tcW w:w="1033" w:type="dxa"/>
            <w:noWrap w:val="0"/>
            <w:vAlign w:val="center"/>
          </w:tcPr>
          <w:p w14:paraId="1E8ECC2D">
            <w:pPr>
              <w:jc w:val="center"/>
              <w:rPr>
                <w:rFonts w:hint="eastAsia" w:ascii="宋体" w:hAnsi="宋体" w:cs="宋体"/>
                <w:color w:val="auto"/>
                <w:highlight w:val="none"/>
              </w:rPr>
            </w:pPr>
          </w:p>
        </w:tc>
        <w:tc>
          <w:tcPr>
            <w:tcW w:w="1397" w:type="dxa"/>
            <w:noWrap w:val="0"/>
            <w:vAlign w:val="center"/>
          </w:tcPr>
          <w:p w14:paraId="6BD67A96">
            <w:pPr>
              <w:jc w:val="center"/>
              <w:rPr>
                <w:rFonts w:hint="eastAsia" w:ascii="宋体" w:hAnsi="宋体" w:cs="宋体"/>
                <w:color w:val="auto"/>
                <w:highlight w:val="none"/>
              </w:rPr>
            </w:pPr>
          </w:p>
        </w:tc>
      </w:tr>
      <w:tr w14:paraId="3B59B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64" w:type="dxa"/>
            <w:noWrap w:val="0"/>
            <w:vAlign w:val="center"/>
          </w:tcPr>
          <w:p w14:paraId="688BDAAC">
            <w:pPr>
              <w:jc w:val="center"/>
              <w:rPr>
                <w:rFonts w:hint="eastAsia" w:ascii="宋体" w:hAnsi="宋体" w:cs="宋体"/>
                <w:color w:val="auto"/>
                <w:highlight w:val="none"/>
              </w:rPr>
            </w:pPr>
            <w:r>
              <w:rPr>
                <w:rFonts w:hint="eastAsia" w:ascii="宋体" w:hAnsi="宋体" w:cs="宋体"/>
                <w:color w:val="auto"/>
                <w:highlight w:val="none"/>
              </w:rPr>
              <w:t>4</w:t>
            </w:r>
          </w:p>
        </w:tc>
        <w:tc>
          <w:tcPr>
            <w:tcW w:w="1247" w:type="dxa"/>
            <w:noWrap w:val="0"/>
            <w:vAlign w:val="center"/>
          </w:tcPr>
          <w:p w14:paraId="52B4C02C">
            <w:pPr>
              <w:jc w:val="center"/>
              <w:rPr>
                <w:rFonts w:hint="eastAsia" w:ascii="宋体" w:hAnsi="宋体" w:cs="宋体"/>
                <w:color w:val="auto"/>
                <w:highlight w:val="none"/>
              </w:rPr>
            </w:pPr>
          </w:p>
        </w:tc>
        <w:tc>
          <w:tcPr>
            <w:tcW w:w="1182" w:type="dxa"/>
            <w:noWrap w:val="0"/>
            <w:vAlign w:val="center"/>
          </w:tcPr>
          <w:p w14:paraId="5CAADD2D">
            <w:pPr>
              <w:jc w:val="center"/>
              <w:rPr>
                <w:rFonts w:hint="eastAsia" w:ascii="宋体" w:hAnsi="宋体" w:cs="宋体"/>
                <w:color w:val="auto"/>
                <w:highlight w:val="none"/>
              </w:rPr>
            </w:pPr>
          </w:p>
        </w:tc>
        <w:tc>
          <w:tcPr>
            <w:tcW w:w="921" w:type="dxa"/>
            <w:noWrap w:val="0"/>
            <w:vAlign w:val="center"/>
          </w:tcPr>
          <w:p w14:paraId="0095123B">
            <w:pPr>
              <w:jc w:val="center"/>
              <w:rPr>
                <w:rFonts w:hint="eastAsia" w:ascii="宋体" w:hAnsi="宋体" w:cs="宋体"/>
                <w:color w:val="auto"/>
                <w:highlight w:val="none"/>
              </w:rPr>
            </w:pPr>
          </w:p>
        </w:tc>
        <w:tc>
          <w:tcPr>
            <w:tcW w:w="797" w:type="dxa"/>
            <w:noWrap w:val="0"/>
            <w:vAlign w:val="center"/>
          </w:tcPr>
          <w:p w14:paraId="2270A3F2">
            <w:pPr>
              <w:jc w:val="center"/>
              <w:rPr>
                <w:rFonts w:hint="eastAsia" w:ascii="宋体" w:hAnsi="宋体" w:cs="宋体"/>
                <w:color w:val="auto"/>
                <w:highlight w:val="none"/>
              </w:rPr>
            </w:pPr>
          </w:p>
        </w:tc>
        <w:tc>
          <w:tcPr>
            <w:tcW w:w="955" w:type="dxa"/>
            <w:noWrap w:val="0"/>
            <w:vAlign w:val="center"/>
          </w:tcPr>
          <w:p w14:paraId="6B04D13B">
            <w:pPr>
              <w:jc w:val="center"/>
              <w:rPr>
                <w:rFonts w:hint="eastAsia" w:ascii="宋体" w:hAnsi="宋体" w:cs="宋体"/>
                <w:color w:val="auto"/>
                <w:highlight w:val="none"/>
              </w:rPr>
            </w:pPr>
          </w:p>
        </w:tc>
        <w:tc>
          <w:tcPr>
            <w:tcW w:w="1033" w:type="dxa"/>
            <w:noWrap w:val="0"/>
            <w:vAlign w:val="center"/>
          </w:tcPr>
          <w:p w14:paraId="6928AA42">
            <w:pPr>
              <w:jc w:val="center"/>
              <w:rPr>
                <w:rFonts w:hint="eastAsia" w:ascii="宋体" w:hAnsi="宋体" w:cs="宋体"/>
                <w:color w:val="auto"/>
                <w:highlight w:val="none"/>
              </w:rPr>
            </w:pPr>
          </w:p>
        </w:tc>
        <w:tc>
          <w:tcPr>
            <w:tcW w:w="1397" w:type="dxa"/>
            <w:noWrap w:val="0"/>
            <w:vAlign w:val="center"/>
          </w:tcPr>
          <w:p w14:paraId="463CBEFE">
            <w:pPr>
              <w:jc w:val="center"/>
              <w:rPr>
                <w:rFonts w:hint="eastAsia" w:ascii="宋体" w:hAnsi="宋体" w:cs="宋体"/>
                <w:color w:val="auto"/>
                <w:highlight w:val="none"/>
              </w:rPr>
            </w:pPr>
          </w:p>
        </w:tc>
      </w:tr>
      <w:tr w14:paraId="37E5D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9" w:hRule="atLeast"/>
          <w:jc w:val="center"/>
        </w:trPr>
        <w:tc>
          <w:tcPr>
            <w:tcW w:w="764" w:type="dxa"/>
            <w:noWrap w:val="0"/>
            <w:vAlign w:val="center"/>
          </w:tcPr>
          <w:p w14:paraId="73517B38">
            <w:pPr>
              <w:jc w:val="center"/>
              <w:rPr>
                <w:rFonts w:hint="eastAsia" w:ascii="宋体" w:hAnsi="宋体" w:cs="宋体"/>
                <w:color w:val="auto"/>
                <w:highlight w:val="none"/>
              </w:rPr>
            </w:pPr>
            <w:r>
              <w:rPr>
                <w:rFonts w:hint="eastAsia" w:ascii="宋体" w:hAnsi="宋体" w:cs="宋体"/>
                <w:color w:val="auto"/>
                <w:highlight w:val="none"/>
              </w:rPr>
              <w:t>5</w:t>
            </w:r>
          </w:p>
        </w:tc>
        <w:tc>
          <w:tcPr>
            <w:tcW w:w="1247" w:type="dxa"/>
            <w:noWrap w:val="0"/>
            <w:vAlign w:val="center"/>
          </w:tcPr>
          <w:p w14:paraId="5A89886B">
            <w:pPr>
              <w:jc w:val="center"/>
              <w:rPr>
                <w:rFonts w:hint="eastAsia" w:ascii="宋体" w:hAnsi="宋体" w:cs="宋体"/>
                <w:color w:val="auto"/>
                <w:highlight w:val="none"/>
              </w:rPr>
            </w:pPr>
          </w:p>
        </w:tc>
        <w:tc>
          <w:tcPr>
            <w:tcW w:w="1182" w:type="dxa"/>
            <w:noWrap w:val="0"/>
            <w:vAlign w:val="center"/>
          </w:tcPr>
          <w:p w14:paraId="40190888">
            <w:pPr>
              <w:jc w:val="center"/>
              <w:rPr>
                <w:rFonts w:hint="eastAsia" w:ascii="宋体" w:hAnsi="宋体" w:cs="宋体"/>
                <w:color w:val="auto"/>
                <w:highlight w:val="none"/>
              </w:rPr>
            </w:pPr>
          </w:p>
        </w:tc>
        <w:tc>
          <w:tcPr>
            <w:tcW w:w="921" w:type="dxa"/>
            <w:noWrap w:val="0"/>
            <w:vAlign w:val="center"/>
          </w:tcPr>
          <w:p w14:paraId="4C7B6745">
            <w:pPr>
              <w:jc w:val="center"/>
              <w:rPr>
                <w:rFonts w:hint="eastAsia" w:ascii="宋体" w:hAnsi="宋体" w:cs="宋体"/>
                <w:color w:val="auto"/>
                <w:highlight w:val="none"/>
              </w:rPr>
            </w:pPr>
          </w:p>
        </w:tc>
        <w:tc>
          <w:tcPr>
            <w:tcW w:w="797" w:type="dxa"/>
            <w:noWrap w:val="0"/>
            <w:vAlign w:val="center"/>
          </w:tcPr>
          <w:p w14:paraId="769C48EC">
            <w:pPr>
              <w:jc w:val="center"/>
              <w:rPr>
                <w:rFonts w:hint="eastAsia" w:ascii="宋体" w:hAnsi="宋体" w:cs="宋体"/>
                <w:color w:val="auto"/>
                <w:highlight w:val="none"/>
              </w:rPr>
            </w:pPr>
          </w:p>
        </w:tc>
        <w:tc>
          <w:tcPr>
            <w:tcW w:w="955" w:type="dxa"/>
            <w:noWrap w:val="0"/>
            <w:vAlign w:val="center"/>
          </w:tcPr>
          <w:p w14:paraId="15E00DE4">
            <w:pPr>
              <w:jc w:val="center"/>
              <w:rPr>
                <w:rFonts w:hint="eastAsia" w:ascii="宋体" w:hAnsi="宋体" w:cs="宋体"/>
                <w:color w:val="auto"/>
                <w:highlight w:val="none"/>
              </w:rPr>
            </w:pPr>
          </w:p>
        </w:tc>
        <w:tc>
          <w:tcPr>
            <w:tcW w:w="1033" w:type="dxa"/>
            <w:noWrap w:val="0"/>
            <w:vAlign w:val="center"/>
          </w:tcPr>
          <w:p w14:paraId="61D97E9B">
            <w:pPr>
              <w:jc w:val="center"/>
              <w:rPr>
                <w:rFonts w:hint="eastAsia" w:ascii="宋体" w:hAnsi="宋体" w:cs="宋体"/>
                <w:color w:val="auto"/>
                <w:highlight w:val="none"/>
              </w:rPr>
            </w:pPr>
          </w:p>
        </w:tc>
        <w:tc>
          <w:tcPr>
            <w:tcW w:w="1397" w:type="dxa"/>
            <w:noWrap w:val="0"/>
            <w:vAlign w:val="center"/>
          </w:tcPr>
          <w:p w14:paraId="2C502A82">
            <w:pPr>
              <w:jc w:val="center"/>
              <w:rPr>
                <w:rFonts w:hint="eastAsia" w:ascii="宋体" w:hAnsi="宋体" w:cs="宋体"/>
                <w:color w:val="auto"/>
                <w:highlight w:val="none"/>
              </w:rPr>
            </w:pPr>
          </w:p>
        </w:tc>
      </w:tr>
      <w:tr w14:paraId="44D8F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jc w:val="center"/>
        </w:trPr>
        <w:tc>
          <w:tcPr>
            <w:tcW w:w="764" w:type="dxa"/>
            <w:noWrap w:val="0"/>
            <w:vAlign w:val="center"/>
          </w:tcPr>
          <w:p w14:paraId="2216E6E3">
            <w:pPr>
              <w:jc w:val="center"/>
              <w:rPr>
                <w:rFonts w:hint="eastAsia" w:ascii="宋体" w:hAnsi="宋体" w:cs="宋体"/>
                <w:color w:val="auto"/>
                <w:highlight w:val="none"/>
              </w:rPr>
            </w:pPr>
            <w:r>
              <w:rPr>
                <w:rFonts w:hint="eastAsia" w:ascii="宋体" w:hAnsi="宋体" w:cs="宋体"/>
                <w:color w:val="auto"/>
                <w:highlight w:val="none"/>
              </w:rPr>
              <w:t>6</w:t>
            </w:r>
          </w:p>
        </w:tc>
        <w:tc>
          <w:tcPr>
            <w:tcW w:w="1247" w:type="dxa"/>
            <w:noWrap w:val="0"/>
            <w:vAlign w:val="center"/>
          </w:tcPr>
          <w:p w14:paraId="2D0C2090">
            <w:pPr>
              <w:jc w:val="center"/>
              <w:rPr>
                <w:rFonts w:hint="eastAsia" w:ascii="宋体" w:hAnsi="宋体" w:cs="宋体"/>
                <w:color w:val="auto"/>
                <w:highlight w:val="none"/>
              </w:rPr>
            </w:pPr>
          </w:p>
        </w:tc>
        <w:tc>
          <w:tcPr>
            <w:tcW w:w="1182" w:type="dxa"/>
            <w:noWrap w:val="0"/>
            <w:vAlign w:val="center"/>
          </w:tcPr>
          <w:p w14:paraId="7D435189">
            <w:pPr>
              <w:jc w:val="center"/>
              <w:rPr>
                <w:rFonts w:hint="eastAsia" w:ascii="宋体" w:hAnsi="宋体" w:cs="宋体"/>
                <w:color w:val="auto"/>
                <w:highlight w:val="none"/>
              </w:rPr>
            </w:pPr>
          </w:p>
        </w:tc>
        <w:tc>
          <w:tcPr>
            <w:tcW w:w="921" w:type="dxa"/>
            <w:noWrap w:val="0"/>
            <w:vAlign w:val="center"/>
          </w:tcPr>
          <w:p w14:paraId="4902A4A9">
            <w:pPr>
              <w:jc w:val="center"/>
              <w:rPr>
                <w:rFonts w:hint="eastAsia" w:ascii="宋体" w:hAnsi="宋体" w:cs="宋体"/>
                <w:color w:val="auto"/>
                <w:highlight w:val="none"/>
              </w:rPr>
            </w:pPr>
          </w:p>
        </w:tc>
        <w:tc>
          <w:tcPr>
            <w:tcW w:w="797" w:type="dxa"/>
            <w:noWrap w:val="0"/>
            <w:vAlign w:val="center"/>
          </w:tcPr>
          <w:p w14:paraId="7E14780B">
            <w:pPr>
              <w:jc w:val="center"/>
              <w:rPr>
                <w:rFonts w:hint="eastAsia" w:ascii="宋体" w:hAnsi="宋体" w:cs="宋体"/>
                <w:color w:val="auto"/>
                <w:highlight w:val="none"/>
              </w:rPr>
            </w:pPr>
          </w:p>
        </w:tc>
        <w:tc>
          <w:tcPr>
            <w:tcW w:w="955" w:type="dxa"/>
            <w:noWrap w:val="0"/>
            <w:vAlign w:val="center"/>
          </w:tcPr>
          <w:p w14:paraId="31D896E7">
            <w:pPr>
              <w:jc w:val="center"/>
              <w:rPr>
                <w:rFonts w:hint="eastAsia" w:ascii="宋体" w:hAnsi="宋体" w:cs="宋体"/>
                <w:color w:val="auto"/>
                <w:highlight w:val="none"/>
              </w:rPr>
            </w:pPr>
          </w:p>
        </w:tc>
        <w:tc>
          <w:tcPr>
            <w:tcW w:w="1033" w:type="dxa"/>
            <w:noWrap w:val="0"/>
            <w:vAlign w:val="center"/>
          </w:tcPr>
          <w:p w14:paraId="2C8963B8">
            <w:pPr>
              <w:jc w:val="center"/>
              <w:rPr>
                <w:rFonts w:hint="eastAsia" w:ascii="宋体" w:hAnsi="宋体" w:cs="宋体"/>
                <w:color w:val="auto"/>
                <w:highlight w:val="none"/>
              </w:rPr>
            </w:pPr>
          </w:p>
        </w:tc>
        <w:tc>
          <w:tcPr>
            <w:tcW w:w="1397" w:type="dxa"/>
            <w:noWrap w:val="0"/>
            <w:vAlign w:val="center"/>
          </w:tcPr>
          <w:p w14:paraId="2B32043B">
            <w:pPr>
              <w:jc w:val="center"/>
              <w:rPr>
                <w:rFonts w:hint="eastAsia" w:ascii="宋体" w:hAnsi="宋体" w:cs="宋体"/>
                <w:color w:val="auto"/>
                <w:highlight w:val="none"/>
              </w:rPr>
            </w:pPr>
          </w:p>
        </w:tc>
      </w:tr>
      <w:tr w14:paraId="71332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jc w:val="center"/>
        </w:trPr>
        <w:tc>
          <w:tcPr>
            <w:tcW w:w="764" w:type="dxa"/>
            <w:noWrap w:val="0"/>
            <w:vAlign w:val="center"/>
          </w:tcPr>
          <w:p w14:paraId="0C867B1D">
            <w:pPr>
              <w:jc w:val="center"/>
              <w:rPr>
                <w:rFonts w:hint="eastAsia" w:ascii="宋体" w:hAnsi="宋体" w:cs="宋体"/>
                <w:color w:val="auto"/>
                <w:highlight w:val="none"/>
              </w:rPr>
            </w:pPr>
            <w:r>
              <w:rPr>
                <w:rFonts w:hint="eastAsia" w:ascii="宋体" w:hAnsi="宋体" w:cs="宋体"/>
                <w:color w:val="auto"/>
                <w:highlight w:val="none"/>
              </w:rPr>
              <w:t>7</w:t>
            </w:r>
          </w:p>
        </w:tc>
        <w:tc>
          <w:tcPr>
            <w:tcW w:w="1247" w:type="dxa"/>
            <w:noWrap w:val="0"/>
            <w:vAlign w:val="center"/>
          </w:tcPr>
          <w:p w14:paraId="2DEEB990">
            <w:pPr>
              <w:jc w:val="center"/>
              <w:rPr>
                <w:rFonts w:hint="eastAsia" w:ascii="宋体" w:hAnsi="宋体" w:cs="宋体"/>
                <w:color w:val="auto"/>
                <w:highlight w:val="none"/>
              </w:rPr>
            </w:pPr>
          </w:p>
        </w:tc>
        <w:tc>
          <w:tcPr>
            <w:tcW w:w="1182" w:type="dxa"/>
            <w:noWrap w:val="0"/>
            <w:vAlign w:val="center"/>
          </w:tcPr>
          <w:p w14:paraId="22CE60E3">
            <w:pPr>
              <w:jc w:val="center"/>
              <w:rPr>
                <w:rFonts w:hint="eastAsia" w:ascii="宋体" w:hAnsi="宋体" w:cs="宋体"/>
                <w:color w:val="auto"/>
                <w:highlight w:val="none"/>
              </w:rPr>
            </w:pPr>
          </w:p>
        </w:tc>
        <w:tc>
          <w:tcPr>
            <w:tcW w:w="921" w:type="dxa"/>
            <w:noWrap w:val="0"/>
            <w:vAlign w:val="center"/>
          </w:tcPr>
          <w:p w14:paraId="4FE4F7B8">
            <w:pPr>
              <w:jc w:val="center"/>
              <w:rPr>
                <w:rFonts w:hint="eastAsia" w:ascii="宋体" w:hAnsi="宋体" w:cs="宋体"/>
                <w:color w:val="auto"/>
                <w:highlight w:val="none"/>
              </w:rPr>
            </w:pPr>
          </w:p>
        </w:tc>
        <w:tc>
          <w:tcPr>
            <w:tcW w:w="797" w:type="dxa"/>
            <w:noWrap w:val="0"/>
            <w:vAlign w:val="center"/>
          </w:tcPr>
          <w:p w14:paraId="2A5A1CD4">
            <w:pPr>
              <w:jc w:val="center"/>
              <w:rPr>
                <w:rFonts w:hint="eastAsia" w:ascii="宋体" w:hAnsi="宋体" w:cs="宋体"/>
                <w:color w:val="auto"/>
                <w:highlight w:val="none"/>
              </w:rPr>
            </w:pPr>
          </w:p>
        </w:tc>
        <w:tc>
          <w:tcPr>
            <w:tcW w:w="955" w:type="dxa"/>
            <w:noWrap w:val="0"/>
            <w:vAlign w:val="center"/>
          </w:tcPr>
          <w:p w14:paraId="48A50663">
            <w:pPr>
              <w:jc w:val="center"/>
              <w:rPr>
                <w:rFonts w:hint="eastAsia" w:ascii="宋体" w:hAnsi="宋体" w:cs="宋体"/>
                <w:color w:val="auto"/>
                <w:highlight w:val="none"/>
              </w:rPr>
            </w:pPr>
          </w:p>
        </w:tc>
        <w:tc>
          <w:tcPr>
            <w:tcW w:w="1033" w:type="dxa"/>
            <w:noWrap w:val="0"/>
            <w:vAlign w:val="center"/>
          </w:tcPr>
          <w:p w14:paraId="60CC9AD7">
            <w:pPr>
              <w:jc w:val="center"/>
              <w:rPr>
                <w:rFonts w:hint="eastAsia" w:ascii="宋体" w:hAnsi="宋体" w:cs="宋体"/>
                <w:color w:val="auto"/>
                <w:highlight w:val="none"/>
              </w:rPr>
            </w:pPr>
          </w:p>
        </w:tc>
        <w:tc>
          <w:tcPr>
            <w:tcW w:w="1397" w:type="dxa"/>
            <w:noWrap w:val="0"/>
            <w:vAlign w:val="center"/>
          </w:tcPr>
          <w:p w14:paraId="09CA9E17">
            <w:pPr>
              <w:jc w:val="center"/>
              <w:rPr>
                <w:rFonts w:hint="eastAsia" w:ascii="宋体" w:hAnsi="宋体" w:cs="宋体"/>
                <w:color w:val="auto"/>
                <w:highlight w:val="none"/>
              </w:rPr>
            </w:pPr>
          </w:p>
        </w:tc>
      </w:tr>
      <w:tr w14:paraId="0FB75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jc w:val="center"/>
        </w:trPr>
        <w:tc>
          <w:tcPr>
            <w:tcW w:w="764" w:type="dxa"/>
            <w:noWrap w:val="0"/>
            <w:vAlign w:val="center"/>
          </w:tcPr>
          <w:p w14:paraId="6DEDE5F8">
            <w:pPr>
              <w:jc w:val="center"/>
              <w:rPr>
                <w:rFonts w:hint="eastAsia" w:ascii="宋体" w:hAnsi="宋体" w:cs="宋体"/>
                <w:color w:val="auto"/>
                <w:highlight w:val="none"/>
              </w:rPr>
            </w:pPr>
            <w:r>
              <w:rPr>
                <w:rFonts w:hint="eastAsia" w:ascii="宋体" w:hAnsi="宋体" w:cs="宋体"/>
                <w:color w:val="auto"/>
                <w:highlight w:val="none"/>
              </w:rPr>
              <w:t>8</w:t>
            </w:r>
          </w:p>
        </w:tc>
        <w:tc>
          <w:tcPr>
            <w:tcW w:w="1247" w:type="dxa"/>
            <w:noWrap w:val="0"/>
            <w:vAlign w:val="center"/>
          </w:tcPr>
          <w:p w14:paraId="3264C349">
            <w:pPr>
              <w:jc w:val="center"/>
              <w:rPr>
                <w:rFonts w:hint="eastAsia" w:ascii="宋体" w:hAnsi="宋体" w:cs="宋体"/>
                <w:color w:val="auto"/>
                <w:highlight w:val="none"/>
              </w:rPr>
            </w:pPr>
          </w:p>
        </w:tc>
        <w:tc>
          <w:tcPr>
            <w:tcW w:w="1182" w:type="dxa"/>
            <w:noWrap w:val="0"/>
            <w:vAlign w:val="center"/>
          </w:tcPr>
          <w:p w14:paraId="150BEAD8">
            <w:pPr>
              <w:jc w:val="center"/>
              <w:rPr>
                <w:rFonts w:hint="eastAsia" w:ascii="宋体" w:hAnsi="宋体" w:cs="宋体"/>
                <w:color w:val="auto"/>
                <w:highlight w:val="none"/>
              </w:rPr>
            </w:pPr>
          </w:p>
        </w:tc>
        <w:tc>
          <w:tcPr>
            <w:tcW w:w="921" w:type="dxa"/>
            <w:noWrap w:val="0"/>
            <w:vAlign w:val="center"/>
          </w:tcPr>
          <w:p w14:paraId="632F5BCC">
            <w:pPr>
              <w:jc w:val="center"/>
              <w:rPr>
                <w:rFonts w:hint="eastAsia" w:ascii="宋体" w:hAnsi="宋体" w:cs="宋体"/>
                <w:color w:val="auto"/>
                <w:highlight w:val="none"/>
              </w:rPr>
            </w:pPr>
          </w:p>
        </w:tc>
        <w:tc>
          <w:tcPr>
            <w:tcW w:w="797" w:type="dxa"/>
            <w:noWrap w:val="0"/>
            <w:vAlign w:val="center"/>
          </w:tcPr>
          <w:p w14:paraId="0F5A1BA4">
            <w:pPr>
              <w:jc w:val="center"/>
              <w:rPr>
                <w:rFonts w:hint="eastAsia" w:ascii="宋体" w:hAnsi="宋体" w:cs="宋体"/>
                <w:color w:val="auto"/>
                <w:highlight w:val="none"/>
              </w:rPr>
            </w:pPr>
          </w:p>
        </w:tc>
        <w:tc>
          <w:tcPr>
            <w:tcW w:w="955" w:type="dxa"/>
            <w:noWrap w:val="0"/>
            <w:vAlign w:val="center"/>
          </w:tcPr>
          <w:p w14:paraId="30CBA2F3">
            <w:pPr>
              <w:jc w:val="center"/>
              <w:rPr>
                <w:rFonts w:hint="eastAsia" w:ascii="宋体" w:hAnsi="宋体" w:cs="宋体"/>
                <w:color w:val="auto"/>
                <w:highlight w:val="none"/>
              </w:rPr>
            </w:pPr>
          </w:p>
        </w:tc>
        <w:tc>
          <w:tcPr>
            <w:tcW w:w="1033" w:type="dxa"/>
            <w:noWrap w:val="0"/>
            <w:vAlign w:val="center"/>
          </w:tcPr>
          <w:p w14:paraId="5CCC4CD2">
            <w:pPr>
              <w:jc w:val="center"/>
              <w:rPr>
                <w:rFonts w:hint="eastAsia" w:ascii="宋体" w:hAnsi="宋体" w:cs="宋体"/>
                <w:color w:val="auto"/>
                <w:highlight w:val="none"/>
              </w:rPr>
            </w:pPr>
          </w:p>
        </w:tc>
        <w:tc>
          <w:tcPr>
            <w:tcW w:w="1397" w:type="dxa"/>
            <w:noWrap w:val="0"/>
            <w:vAlign w:val="center"/>
          </w:tcPr>
          <w:p w14:paraId="130A2ED7">
            <w:pPr>
              <w:jc w:val="center"/>
              <w:rPr>
                <w:rFonts w:hint="eastAsia" w:ascii="宋体" w:hAnsi="宋体" w:cs="宋体"/>
                <w:color w:val="auto"/>
                <w:highlight w:val="none"/>
              </w:rPr>
            </w:pPr>
          </w:p>
        </w:tc>
      </w:tr>
      <w:tr w14:paraId="6D7BCA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64" w:type="dxa"/>
            <w:noWrap w:val="0"/>
            <w:vAlign w:val="center"/>
          </w:tcPr>
          <w:p w14:paraId="73D90EC1">
            <w:pPr>
              <w:jc w:val="center"/>
              <w:rPr>
                <w:rFonts w:hint="eastAsia" w:ascii="宋体" w:hAnsi="宋体" w:cs="宋体"/>
                <w:color w:val="auto"/>
                <w:highlight w:val="none"/>
              </w:rPr>
            </w:pPr>
            <w:r>
              <w:rPr>
                <w:rFonts w:hint="eastAsia" w:ascii="宋体" w:hAnsi="宋体" w:cs="宋体"/>
                <w:color w:val="auto"/>
                <w:highlight w:val="none"/>
              </w:rPr>
              <w:t>9</w:t>
            </w:r>
          </w:p>
        </w:tc>
        <w:tc>
          <w:tcPr>
            <w:tcW w:w="1247" w:type="dxa"/>
            <w:noWrap w:val="0"/>
            <w:vAlign w:val="center"/>
          </w:tcPr>
          <w:p w14:paraId="348332D6">
            <w:pPr>
              <w:jc w:val="center"/>
              <w:rPr>
                <w:rFonts w:hint="eastAsia" w:ascii="宋体" w:hAnsi="宋体" w:cs="宋体"/>
                <w:color w:val="auto"/>
                <w:highlight w:val="none"/>
              </w:rPr>
            </w:pPr>
          </w:p>
        </w:tc>
        <w:tc>
          <w:tcPr>
            <w:tcW w:w="1182" w:type="dxa"/>
            <w:noWrap w:val="0"/>
            <w:vAlign w:val="center"/>
          </w:tcPr>
          <w:p w14:paraId="4093F5C1">
            <w:pPr>
              <w:jc w:val="center"/>
              <w:rPr>
                <w:rFonts w:hint="eastAsia" w:ascii="宋体" w:hAnsi="宋体" w:cs="宋体"/>
                <w:color w:val="auto"/>
                <w:highlight w:val="none"/>
              </w:rPr>
            </w:pPr>
          </w:p>
        </w:tc>
        <w:tc>
          <w:tcPr>
            <w:tcW w:w="921" w:type="dxa"/>
            <w:noWrap w:val="0"/>
            <w:vAlign w:val="center"/>
          </w:tcPr>
          <w:p w14:paraId="27D0A943">
            <w:pPr>
              <w:jc w:val="center"/>
              <w:rPr>
                <w:rFonts w:hint="eastAsia" w:ascii="宋体" w:hAnsi="宋体" w:cs="宋体"/>
                <w:color w:val="auto"/>
                <w:highlight w:val="none"/>
              </w:rPr>
            </w:pPr>
          </w:p>
        </w:tc>
        <w:tc>
          <w:tcPr>
            <w:tcW w:w="797" w:type="dxa"/>
            <w:noWrap w:val="0"/>
            <w:vAlign w:val="center"/>
          </w:tcPr>
          <w:p w14:paraId="02BF3592">
            <w:pPr>
              <w:jc w:val="center"/>
              <w:rPr>
                <w:rFonts w:hint="eastAsia" w:ascii="宋体" w:hAnsi="宋体" w:cs="宋体"/>
                <w:color w:val="auto"/>
                <w:highlight w:val="none"/>
              </w:rPr>
            </w:pPr>
          </w:p>
        </w:tc>
        <w:tc>
          <w:tcPr>
            <w:tcW w:w="955" w:type="dxa"/>
            <w:noWrap w:val="0"/>
            <w:vAlign w:val="center"/>
          </w:tcPr>
          <w:p w14:paraId="4CED333B">
            <w:pPr>
              <w:jc w:val="center"/>
              <w:rPr>
                <w:rFonts w:hint="eastAsia" w:ascii="宋体" w:hAnsi="宋体" w:cs="宋体"/>
                <w:color w:val="auto"/>
                <w:highlight w:val="none"/>
              </w:rPr>
            </w:pPr>
          </w:p>
        </w:tc>
        <w:tc>
          <w:tcPr>
            <w:tcW w:w="1033" w:type="dxa"/>
            <w:noWrap w:val="0"/>
            <w:vAlign w:val="center"/>
          </w:tcPr>
          <w:p w14:paraId="2E388B48">
            <w:pPr>
              <w:jc w:val="center"/>
              <w:rPr>
                <w:rFonts w:hint="eastAsia" w:ascii="宋体" w:hAnsi="宋体" w:cs="宋体"/>
                <w:color w:val="auto"/>
                <w:highlight w:val="none"/>
              </w:rPr>
            </w:pPr>
          </w:p>
        </w:tc>
        <w:tc>
          <w:tcPr>
            <w:tcW w:w="1397" w:type="dxa"/>
            <w:noWrap w:val="0"/>
            <w:vAlign w:val="center"/>
          </w:tcPr>
          <w:p w14:paraId="22C920D8">
            <w:pPr>
              <w:jc w:val="center"/>
              <w:rPr>
                <w:rFonts w:hint="eastAsia" w:ascii="宋体" w:hAnsi="宋体" w:cs="宋体"/>
                <w:color w:val="auto"/>
                <w:highlight w:val="none"/>
              </w:rPr>
            </w:pPr>
          </w:p>
        </w:tc>
      </w:tr>
      <w:tr w14:paraId="30C62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31" w:hRule="atLeast"/>
          <w:jc w:val="center"/>
        </w:trPr>
        <w:tc>
          <w:tcPr>
            <w:tcW w:w="764" w:type="dxa"/>
            <w:noWrap w:val="0"/>
            <w:vAlign w:val="center"/>
          </w:tcPr>
          <w:p w14:paraId="778F441F">
            <w:pPr>
              <w:jc w:val="center"/>
              <w:rPr>
                <w:rFonts w:hint="eastAsia" w:ascii="宋体" w:hAnsi="宋体" w:cs="宋体"/>
                <w:color w:val="auto"/>
                <w:highlight w:val="none"/>
              </w:rPr>
            </w:pPr>
            <w:r>
              <w:rPr>
                <w:rFonts w:hint="eastAsia" w:ascii="宋体" w:hAnsi="宋体" w:cs="宋体"/>
                <w:color w:val="auto"/>
                <w:spacing w:val="-7"/>
                <w:highlight w:val="none"/>
              </w:rPr>
              <w:t>1</w:t>
            </w:r>
            <w:r>
              <w:rPr>
                <w:rFonts w:hint="eastAsia" w:ascii="宋体" w:hAnsi="宋体" w:cs="宋体"/>
                <w:color w:val="auto"/>
                <w:spacing w:val="-5"/>
                <w:highlight w:val="none"/>
              </w:rPr>
              <w:t>0</w:t>
            </w:r>
          </w:p>
        </w:tc>
        <w:tc>
          <w:tcPr>
            <w:tcW w:w="1247" w:type="dxa"/>
            <w:noWrap w:val="0"/>
            <w:vAlign w:val="center"/>
          </w:tcPr>
          <w:p w14:paraId="625FA703">
            <w:pPr>
              <w:jc w:val="center"/>
              <w:rPr>
                <w:rFonts w:hint="eastAsia" w:ascii="宋体" w:hAnsi="宋体" w:cs="宋体"/>
                <w:color w:val="auto"/>
                <w:highlight w:val="none"/>
              </w:rPr>
            </w:pPr>
          </w:p>
        </w:tc>
        <w:tc>
          <w:tcPr>
            <w:tcW w:w="1182" w:type="dxa"/>
            <w:noWrap w:val="0"/>
            <w:vAlign w:val="center"/>
          </w:tcPr>
          <w:p w14:paraId="131A7054">
            <w:pPr>
              <w:jc w:val="center"/>
              <w:rPr>
                <w:rFonts w:hint="eastAsia" w:ascii="宋体" w:hAnsi="宋体" w:cs="宋体"/>
                <w:color w:val="auto"/>
                <w:highlight w:val="none"/>
              </w:rPr>
            </w:pPr>
          </w:p>
        </w:tc>
        <w:tc>
          <w:tcPr>
            <w:tcW w:w="921" w:type="dxa"/>
            <w:noWrap w:val="0"/>
            <w:vAlign w:val="center"/>
          </w:tcPr>
          <w:p w14:paraId="10C68135">
            <w:pPr>
              <w:jc w:val="center"/>
              <w:rPr>
                <w:rFonts w:hint="eastAsia" w:ascii="宋体" w:hAnsi="宋体" w:cs="宋体"/>
                <w:color w:val="auto"/>
                <w:highlight w:val="none"/>
              </w:rPr>
            </w:pPr>
          </w:p>
        </w:tc>
        <w:tc>
          <w:tcPr>
            <w:tcW w:w="797" w:type="dxa"/>
            <w:noWrap w:val="0"/>
            <w:vAlign w:val="center"/>
          </w:tcPr>
          <w:p w14:paraId="20C4F4B1">
            <w:pPr>
              <w:jc w:val="center"/>
              <w:rPr>
                <w:rFonts w:hint="eastAsia" w:ascii="宋体" w:hAnsi="宋体" w:cs="宋体"/>
                <w:color w:val="auto"/>
                <w:highlight w:val="none"/>
              </w:rPr>
            </w:pPr>
          </w:p>
        </w:tc>
        <w:tc>
          <w:tcPr>
            <w:tcW w:w="955" w:type="dxa"/>
            <w:noWrap w:val="0"/>
            <w:vAlign w:val="center"/>
          </w:tcPr>
          <w:p w14:paraId="301EF8D9">
            <w:pPr>
              <w:jc w:val="center"/>
              <w:rPr>
                <w:rFonts w:hint="eastAsia" w:ascii="宋体" w:hAnsi="宋体" w:cs="宋体"/>
                <w:color w:val="auto"/>
                <w:highlight w:val="none"/>
              </w:rPr>
            </w:pPr>
          </w:p>
        </w:tc>
        <w:tc>
          <w:tcPr>
            <w:tcW w:w="1033" w:type="dxa"/>
            <w:noWrap w:val="0"/>
            <w:vAlign w:val="center"/>
          </w:tcPr>
          <w:p w14:paraId="7ADFA5FA">
            <w:pPr>
              <w:jc w:val="center"/>
              <w:rPr>
                <w:rFonts w:hint="eastAsia" w:ascii="宋体" w:hAnsi="宋体" w:cs="宋体"/>
                <w:color w:val="auto"/>
                <w:highlight w:val="none"/>
              </w:rPr>
            </w:pPr>
          </w:p>
        </w:tc>
        <w:tc>
          <w:tcPr>
            <w:tcW w:w="1397" w:type="dxa"/>
            <w:noWrap w:val="0"/>
            <w:vAlign w:val="center"/>
          </w:tcPr>
          <w:p w14:paraId="1601851A">
            <w:pPr>
              <w:jc w:val="center"/>
              <w:rPr>
                <w:rFonts w:hint="eastAsia" w:ascii="宋体" w:hAnsi="宋体" w:cs="宋体"/>
                <w:color w:val="auto"/>
                <w:highlight w:val="none"/>
              </w:rPr>
            </w:pPr>
          </w:p>
        </w:tc>
      </w:tr>
      <w:tr w14:paraId="31348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jc w:val="center"/>
        </w:trPr>
        <w:tc>
          <w:tcPr>
            <w:tcW w:w="764" w:type="dxa"/>
            <w:noWrap w:val="0"/>
            <w:vAlign w:val="center"/>
          </w:tcPr>
          <w:p w14:paraId="521D1102">
            <w:pPr>
              <w:jc w:val="center"/>
              <w:rPr>
                <w:rFonts w:hint="eastAsia" w:ascii="宋体" w:hAnsi="宋体" w:cs="宋体"/>
                <w:color w:val="auto"/>
                <w:highlight w:val="none"/>
              </w:rPr>
            </w:pPr>
            <w:r>
              <w:rPr>
                <w:rFonts w:hint="eastAsia" w:ascii="宋体" w:hAnsi="宋体" w:cs="宋体"/>
                <w:color w:val="auto"/>
                <w:spacing w:val="-7"/>
                <w:highlight w:val="none"/>
              </w:rPr>
              <w:t>1</w:t>
            </w:r>
            <w:r>
              <w:rPr>
                <w:rFonts w:hint="eastAsia" w:ascii="宋体" w:hAnsi="宋体" w:cs="宋体"/>
                <w:color w:val="auto"/>
                <w:spacing w:val="-5"/>
                <w:highlight w:val="none"/>
              </w:rPr>
              <w:t>1</w:t>
            </w:r>
          </w:p>
        </w:tc>
        <w:tc>
          <w:tcPr>
            <w:tcW w:w="1247" w:type="dxa"/>
            <w:noWrap w:val="0"/>
            <w:vAlign w:val="center"/>
          </w:tcPr>
          <w:p w14:paraId="26A22A73">
            <w:pPr>
              <w:jc w:val="center"/>
              <w:rPr>
                <w:rFonts w:hint="eastAsia" w:ascii="宋体" w:hAnsi="宋体" w:cs="宋体"/>
                <w:color w:val="auto"/>
                <w:highlight w:val="none"/>
              </w:rPr>
            </w:pPr>
          </w:p>
        </w:tc>
        <w:tc>
          <w:tcPr>
            <w:tcW w:w="1182" w:type="dxa"/>
            <w:noWrap w:val="0"/>
            <w:vAlign w:val="center"/>
          </w:tcPr>
          <w:p w14:paraId="7EDE0015">
            <w:pPr>
              <w:jc w:val="center"/>
              <w:rPr>
                <w:rFonts w:hint="eastAsia" w:ascii="宋体" w:hAnsi="宋体" w:cs="宋体"/>
                <w:color w:val="auto"/>
                <w:highlight w:val="none"/>
              </w:rPr>
            </w:pPr>
          </w:p>
        </w:tc>
        <w:tc>
          <w:tcPr>
            <w:tcW w:w="921" w:type="dxa"/>
            <w:noWrap w:val="0"/>
            <w:vAlign w:val="center"/>
          </w:tcPr>
          <w:p w14:paraId="65B5B34A">
            <w:pPr>
              <w:jc w:val="center"/>
              <w:rPr>
                <w:rFonts w:hint="eastAsia" w:ascii="宋体" w:hAnsi="宋体" w:cs="宋体"/>
                <w:color w:val="auto"/>
                <w:highlight w:val="none"/>
              </w:rPr>
            </w:pPr>
          </w:p>
        </w:tc>
        <w:tc>
          <w:tcPr>
            <w:tcW w:w="797" w:type="dxa"/>
            <w:noWrap w:val="0"/>
            <w:vAlign w:val="center"/>
          </w:tcPr>
          <w:p w14:paraId="31D0EA85">
            <w:pPr>
              <w:jc w:val="center"/>
              <w:rPr>
                <w:rFonts w:hint="eastAsia" w:ascii="宋体" w:hAnsi="宋体" w:cs="宋体"/>
                <w:color w:val="auto"/>
                <w:highlight w:val="none"/>
              </w:rPr>
            </w:pPr>
          </w:p>
        </w:tc>
        <w:tc>
          <w:tcPr>
            <w:tcW w:w="955" w:type="dxa"/>
            <w:noWrap w:val="0"/>
            <w:vAlign w:val="center"/>
          </w:tcPr>
          <w:p w14:paraId="24413CC1">
            <w:pPr>
              <w:jc w:val="center"/>
              <w:rPr>
                <w:rFonts w:hint="eastAsia" w:ascii="宋体" w:hAnsi="宋体" w:cs="宋体"/>
                <w:color w:val="auto"/>
                <w:highlight w:val="none"/>
              </w:rPr>
            </w:pPr>
          </w:p>
        </w:tc>
        <w:tc>
          <w:tcPr>
            <w:tcW w:w="1033" w:type="dxa"/>
            <w:noWrap w:val="0"/>
            <w:vAlign w:val="center"/>
          </w:tcPr>
          <w:p w14:paraId="5C205DAC">
            <w:pPr>
              <w:jc w:val="center"/>
              <w:rPr>
                <w:rFonts w:hint="eastAsia" w:ascii="宋体" w:hAnsi="宋体" w:cs="宋体"/>
                <w:color w:val="auto"/>
                <w:highlight w:val="none"/>
              </w:rPr>
            </w:pPr>
          </w:p>
        </w:tc>
        <w:tc>
          <w:tcPr>
            <w:tcW w:w="1397" w:type="dxa"/>
            <w:noWrap w:val="0"/>
            <w:vAlign w:val="center"/>
          </w:tcPr>
          <w:p w14:paraId="7E3DAECB">
            <w:pPr>
              <w:jc w:val="center"/>
              <w:rPr>
                <w:rFonts w:hint="eastAsia" w:ascii="宋体" w:hAnsi="宋体" w:cs="宋体"/>
                <w:color w:val="auto"/>
                <w:highlight w:val="none"/>
              </w:rPr>
            </w:pPr>
          </w:p>
        </w:tc>
      </w:tr>
      <w:tr w14:paraId="66E1F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jc w:val="center"/>
        </w:trPr>
        <w:tc>
          <w:tcPr>
            <w:tcW w:w="764" w:type="dxa"/>
            <w:noWrap w:val="0"/>
            <w:vAlign w:val="center"/>
          </w:tcPr>
          <w:p w14:paraId="7743A70D">
            <w:pPr>
              <w:jc w:val="center"/>
              <w:rPr>
                <w:rFonts w:hint="eastAsia" w:ascii="宋体" w:hAnsi="宋体" w:cs="宋体"/>
                <w:color w:val="auto"/>
                <w:highlight w:val="none"/>
              </w:rPr>
            </w:pPr>
            <w:r>
              <w:rPr>
                <w:rFonts w:hint="eastAsia" w:ascii="宋体" w:hAnsi="宋体" w:cs="宋体"/>
                <w:color w:val="auto"/>
                <w:spacing w:val="-7"/>
                <w:highlight w:val="none"/>
              </w:rPr>
              <w:t>1</w:t>
            </w:r>
            <w:r>
              <w:rPr>
                <w:rFonts w:hint="eastAsia" w:ascii="宋体" w:hAnsi="宋体" w:cs="宋体"/>
                <w:color w:val="auto"/>
                <w:spacing w:val="-5"/>
                <w:highlight w:val="none"/>
              </w:rPr>
              <w:t>2</w:t>
            </w:r>
          </w:p>
        </w:tc>
        <w:tc>
          <w:tcPr>
            <w:tcW w:w="1247" w:type="dxa"/>
            <w:noWrap w:val="0"/>
            <w:vAlign w:val="center"/>
          </w:tcPr>
          <w:p w14:paraId="59D5CBA5">
            <w:pPr>
              <w:jc w:val="center"/>
              <w:rPr>
                <w:rFonts w:hint="eastAsia" w:ascii="宋体" w:hAnsi="宋体" w:cs="宋体"/>
                <w:color w:val="auto"/>
                <w:highlight w:val="none"/>
              </w:rPr>
            </w:pPr>
          </w:p>
        </w:tc>
        <w:tc>
          <w:tcPr>
            <w:tcW w:w="1182" w:type="dxa"/>
            <w:noWrap w:val="0"/>
            <w:vAlign w:val="center"/>
          </w:tcPr>
          <w:p w14:paraId="65898CAC">
            <w:pPr>
              <w:jc w:val="center"/>
              <w:rPr>
                <w:rFonts w:hint="eastAsia" w:ascii="宋体" w:hAnsi="宋体" w:cs="宋体"/>
                <w:color w:val="auto"/>
                <w:highlight w:val="none"/>
              </w:rPr>
            </w:pPr>
          </w:p>
        </w:tc>
        <w:tc>
          <w:tcPr>
            <w:tcW w:w="921" w:type="dxa"/>
            <w:noWrap w:val="0"/>
            <w:vAlign w:val="center"/>
          </w:tcPr>
          <w:p w14:paraId="4B01872A">
            <w:pPr>
              <w:jc w:val="center"/>
              <w:rPr>
                <w:rFonts w:hint="eastAsia" w:ascii="宋体" w:hAnsi="宋体" w:cs="宋体"/>
                <w:color w:val="auto"/>
                <w:highlight w:val="none"/>
              </w:rPr>
            </w:pPr>
          </w:p>
        </w:tc>
        <w:tc>
          <w:tcPr>
            <w:tcW w:w="797" w:type="dxa"/>
            <w:noWrap w:val="0"/>
            <w:vAlign w:val="center"/>
          </w:tcPr>
          <w:p w14:paraId="792AC3F1">
            <w:pPr>
              <w:jc w:val="center"/>
              <w:rPr>
                <w:rFonts w:hint="eastAsia" w:ascii="宋体" w:hAnsi="宋体" w:cs="宋体"/>
                <w:color w:val="auto"/>
                <w:highlight w:val="none"/>
              </w:rPr>
            </w:pPr>
          </w:p>
        </w:tc>
        <w:tc>
          <w:tcPr>
            <w:tcW w:w="955" w:type="dxa"/>
            <w:noWrap w:val="0"/>
            <w:vAlign w:val="center"/>
          </w:tcPr>
          <w:p w14:paraId="119FA627">
            <w:pPr>
              <w:jc w:val="center"/>
              <w:rPr>
                <w:rFonts w:hint="eastAsia" w:ascii="宋体" w:hAnsi="宋体" w:cs="宋体"/>
                <w:color w:val="auto"/>
                <w:highlight w:val="none"/>
              </w:rPr>
            </w:pPr>
          </w:p>
        </w:tc>
        <w:tc>
          <w:tcPr>
            <w:tcW w:w="1033" w:type="dxa"/>
            <w:noWrap w:val="0"/>
            <w:vAlign w:val="center"/>
          </w:tcPr>
          <w:p w14:paraId="600A91E9">
            <w:pPr>
              <w:jc w:val="center"/>
              <w:rPr>
                <w:rFonts w:hint="eastAsia" w:ascii="宋体" w:hAnsi="宋体" w:cs="宋体"/>
                <w:color w:val="auto"/>
                <w:highlight w:val="none"/>
              </w:rPr>
            </w:pPr>
          </w:p>
        </w:tc>
        <w:tc>
          <w:tcPr>
            <w:tcW w:w="1397" w:type="dxa"/>
            <w:noWrap w:val="0"/>
            <w:vAlign w:val="center"/>
          </w:tcPr>
          <w:p w14:paraId="16DDCC4A">
            <w:pPr>
              <w:jc w:val="center"/>
              <w:rPr>
                <w:rFonts w:hint="eastAsia" w:ascii="宋体" w:hAnsi="宋体" w:cs="宋体"/>
                <w:color w:val="auto"/>
                <w:highlight w:val="none"/>
              </w:rPr>
            </w:pPr>
          </w:p>
        </w:tc>
      </w:tr>
      <w:tr w14:paraId="21DA2A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jc w:val="center"/>
        </w:trPr>
        <w:tc>
          <w:tcPr>
            <w:tcW w:w="764" w:type="dxa"/>
            <w:noWrap w:val="0"/>
            <w:vAlign w:val="center"/>
          </w:tcPr>
          <w:p w14:paraId="08CDB4F7">
            <w:pPr>
              <w:jc w:val="center"/>
              <w:rPr>
                <w:rFonts w:hint="eastAsia" w:ascii="宋体" w:hAnsi="宋体" w:cs="宋体"/>
                <w:color w:val="auto"/>
                <w:highlight w:val="none"/>
              </w:rPr>
            </w:pPr>
            <w:r>
              <w:rPr>
                <w:rFonts w:hint="eastAsia" w:ascii="宋体" w:hAnsi="宋体" w:cs="宋体"/>
                <w:color w:val="auto"/>
                <w:spacing w:val="-7"/>
                <w:highlight w:val="none"/>
              </w:rPr>
              <w:t>1</w:t>
            </w:r>
            <w:r>
              <w:rPr>
                <w:rFonts w:hint="eastAsia" w:ascii="宋体" w:hAnsi="宋体" w:cs="宋体"/>
                <w:color w:val="auto"/>
                <w:spacing w:val="-5"/>
                <w:highlight w:val="none"/>
              </w:rPr>
              <w:t>3</w:t>
            </w:r>
          </w:p>
        </w:tc>
        <w:tc>
          <w:tcPr>
            <w:tcW w:w="1247" w:type="dxa"/>
            <w:noWrap w:val="0"/>
            <w:vAlign w:val="center"/>
          </w:tcPr>
          <w:p w14:paraId="0B72B4F4">
            <w:pPr>
              <w:jc w:val="center"/>
              <w:rPr>
                <w:rFonts w:hint="eastAsia" w:ascii="宋体" w:hAnsi="宋体" w:cs="宋体"/>
                <w:color w:val="auto"/>
                <w:highlight w:val="none"/>
              </w:rPr>
            </w:pPr>
          </w:p>
        </w:tc>
        <w:tc>
          <w:tcPr>
            <w:tcW w:w="1182" w:type="dxa"/>
            <w:noWrap w:val="0"/>
            <w:vAlign w:val="center"/>
          </w:tcPr>
          <w:p w14:paraId="44AADD0E">
            <w:pPr>
              <w:jc w:val="center"/>
              <w:rPr>
                <w:rFonts w:hint="eastAsia" w:ascii="宋体" w:hAnsi="宋体" w:cs="宋体"/>
                <w:color w:val="auto"/>
                <w:highlight w:val="none"/>
              </w:rPr>
            </w:pPr>
          </w:p>
        </w:tc>
        <w:tc>
          <w:tcPr>
            <w:tcW w:w="921" w:type="dxa"/>
            <w:noWrap w:val="0"/>
            <w:vAlign w:val="center"/>
          </w:tcPr>
          <w:p w14:paraId="1D873C40">
            <w:pPr>
              <w:jc w:val="center"/>
              <w:rPr>
                <w:rFonts w:hint="eastAsia" w:ascii="宋体" w:hAnsi="宋体" w:cs="宋体"/>
                <w:color w:val="auto"/>
                <w:highlight w:val="none"/>
              </w:rPr>
            </w:pPr>
          </w:p>
        </w:tc>
        <w:tc>
          <w:tcPr>
            <w:tcW w:w="797" w:type="dxa"/>
            <w:noWrap w:val="0"/>
            <w:vAlign w:val="center"/>
          </w:tcPr>
          <w:p w14:paraId="795AA8BC">
            <w:pPr>
              <w:jc w:val="center"/>
              <w:rPr>
                <w:rFonts w:hint="eastAsia" w:ascii="宋体" w:hAnsi="宋体" w:cs="宋体"/>
                <w:color w:val="auto"/>
                <w:highlight w:val="none"/>
              </w:rPr>
            </w:pPr>
          </w:p>
        </w:tc>
        <w:tc>
          <w:tcPr>
            <w:tcW w:w="955" w:type="dxa"/>
            <w:noWrap w:val="0"/>
            <w:vAlign w:val="center"/>
          </w:tcPr>
          <w:p w14:paraId="279FF42B">
            <w:pPr>
              <w:jc w:val="center"/>
              <w:rPr>
                <w:rFonts w:hint="eastAsia" w:ascii="宋体" w:hAnsi="宋体" w:cs="宋体"/>
                <w:color w:val="auto"/>
                <w:highlight w:val="none"/>
              </w:rPr>
            </w:pPr>
          </w:p>
        </w:tc>
        <w:tc>
          <w:tcPr>
            <w:tcW w:w="1033" w:type="dxa"/>
            <w:noWrap w:val="0"/>
            <w:vAlign w:val="center"/>
          </w:tcPr>
          <w:p w14:paraId="0DC493E6">
            <w:pPr>
              <w:jc w:val="center"/>
              <w:rPr>
                <w:rFonts w:hint="eastAsia" w:ascii="宋体" w:hAnsi="宋体" w:cs="宋体"/>
                <w:color w:val="auto"/>
                <w:highlight w:val="none"/>
              </w:rPr>
            </w:pPr>
          </w:p>
        </w:tc>
        <w:tc>
          <w:tcPr>
            <w:tcW w:w="1397" w:type="dxa"/>
            <w:noWrap w:val="0"/>
            <w:vAlign w:val="center"/>
          </w:tcPr>
          <w:p w14:paraId="4E0DEA5C">
            <w:pPr>
              <w:jc w:val="center"/>
              <w:rPr>
                <w:rFonts w:hint="eastAsia" w:ascii="宋体" w:hAnsi="宋体" w:cs="宋体"/>
                <w:color w:val="auto"/>
                <w:highlight w:val="none"/>
              </w:rPr>
            </w:pPr>
          </w:p>
        </w:tc>
      </w:tr>
      <w:tr w14:paraId="00E5C6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27" w:hRule="atLeast"/>
          <w:jc w:val="center"/>
        </w:trPr>
        <w:tc>
          <w:tcPr>
            <w:tcW w:w="764" w:type="dxa"/>
            <w:noWrap w:val="0"/>
            <w:vAlign w:val="center"/>
          </w:tcPr>
          <w:p w14:paraId="0A82B2C4">
            <w:pPr>
              <w:jc w:val="center"/>
              <w:rPr>
                <w:rFonts w:hint="eastAsia" w:ascii="宋体" w:hAnsi="宋体" w:cs="宋体"/>
                <w:color w:val="auto"/>
                <w:highlight w:val="none"/>
              </w:rPr>
            </w:pPr>
            <w:r>
              <w:rPr>
                <w:rFonts w:hint="eastAsia" w:ascii="宋体" w:hAnsi="宋体" w:cs="宋体"/>
                <w:color w:val="auto"/>
                <w:spacing w:val="-7"/>
                <w:highlight w:val="none"/>
              </w:rPr>
              <w:t>1</w:t>
            </w:r>
            <w:r>
              <w:rPr>
                <w:rFonts w:hint="eastAsia" w:ascii="宋体" w:hAnsi="宋体" w:cs="宋体"/>
                <w:color w:val="auto"/>
                <w:spacing w:val="-5"/>
                <w:highlight w:val="none"/>
              </w:rPr>
              <w:t>4</w:t>
            </w:r>
          </w:p>
        </w:tc>
        <w:tc>
          <w:tcPr>
            <w:tcW w:w="1247" w:type="dxa"/>
            <w:noWrap w:val="0"/>
            <w:vAlign w:val="center"/>
          </w:tcPr>
          <w:p w14:paraId="256B31FF">
            <w:pPr>
              <w:jc w:val="center"/>
              <w:rPr>
                <w:rFonts w:hint="eastAsia" w:ascii="宋体" w:hAnsi="宋体" w:cs="宋体"/>
                <w:color w:val="auto"/>
                <w:highlight w:val="none"/>
              </w:rPr>
            </w:pPr>
          </w:p>
        </w:tc>
        <w:tc>
          <w:tcPr>
            <w:tcW w:w="1182" w:type="dxa"/>
            <w:noWrap w:val="0"/>
            <w:vAlign w:val="center"/>
          </w:tcPr>
          <w:p w14:paraId="1F6603A9">
            <w:pPr>
              <w:jc w:val="center"/>
              <w:rPr>
                <w:rFonts w:hint="eastAsia" w:ascii="宋体" w:hAnsi="宋体" w:cs="宋体"/>
                <w:color w:val="auto"/>
                <w:highlight w:val="none"/>
              </w:rPr>
            </w:pPr>
          </w:p>
        </w:tc>
        <w:tc>
          <w:tcPr>
            <w:tcW w:w="921" w:type="dxa"/>
            <w:noWrap w:val="0"/>
            <w:vAlign w:val="center"/>
          </w:tcPr>
          <w:p w14:paraId="0E7DE837">
            <w:pPr>
              <w:jc w:val="center"/>
              <w:rPr>
                <w:rFonts w:hint="eastAsia" w:ascii="宋体" w:hAnsi="宋体" w:cs="宋体"/>
                <w:color w:val="auto"/>
                <w:highlight w:val="none"/>
              </w:rPr>
            </w:pPr>
          </w:p>
        </w:tc>
        <w:tc>
          <w:tcPr>
            <w:tcW w:w="797" w:type="dxa"/>
            <w:noWrap w:val="0"/>
            <w:vAlign w:val="center"/>
          </w:tcPr>
          <w:p w14:paraId="04FDD504">
            <w:pPr>
              <w:jc w:val="center"/>
              <w:rPr>
                <w:rFonts w:hint="eastAsia" w:ascii="宋体" w:hAnsi="宋体" w:cs="宋体"/>
                <w:color w:val="auto"/>
                <w:highlight w:val="none"/>
              </w:rPr>
            </w:pPr>
          </w:p>
        </w:tc>
        <w:tc>
          <w:tcPr>
            <w:tcW w:w="955" w:type="dxa"/>
            <w:noWrap w:val="0"/>
            <w:vAlign w:val="center"/>
          </w:tcPr>
          <w:p w14:paraId="415A87D1">
            <w:pPr>
              <w:jc w:val="center"/>
              <w:rPr>
                <w:rFonts w:hint="eastAsia" w:ascii="宋体" w:hAnsi="宋体" w:cs="宋体"/>
                <w:color w:val="auto"/>
                <w:highlight w:val="none"/>
              </w:rPr>
            </w:pPr>
          </w:p>
        </w:tc>
        <w:tc>
          <w:tcPr>
            <w:tcW w:w="1033" w:type="dxa"/>
            <w:noWrap w:val="0"/>
            <w:vAlign w:val="center"/>
          </w:tcPr>
          <w:p w14:paraId="461813B6">
            <w:pPr>
              <w:jc w:val="center"/>
              <w:rPr>
                <w:rFonts w:hint="eastAsia" w:ascii="宋体" w:hAnsi="宋体" w:cs="宋体"/>
                <w:color w:val="auto"/>
                <w:highlight w:val="none"/>
              </w:rPr>
            </w:pPr>
          </w:p>
        </w:tc>
        <w:tc>
          <w:tcPr>
            <w:tcW w:w="1397" w:type="dxa"/>
            <w:noWrap w:val="0"/>
            <w:vAlign w:val="center"/>
          </w:tcPr>
          <w:p w14:paraId="6D90FB43">
            <w:pPr>
              <w:jc w:val="center"/>
              <w:rPr>
                <w:rFonts w:hint="eastAsia" w:ascii="宋体" w:hAnsi="宋体" w:cs="宋体"/>
                <w:color w:val="auto"/>
                <w:highlight w:val="none"/>
              </w:rPr>
            </w:pPr>
          </w:p>
        </w:tc>
      </w:tr>
      <w:tr w14:paraId="195F4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jc w:val="center"/>
        </w:trPr>
        <w:tc>
          <w:tcPr>
            <w:tcW w:w="764" w:type="dxa"/>
            <w:noWrap w:val="0"/>
            <w:vAlign w:val="center"/>
          </w:tcPr>
          <w:p w14:paraId="0045BCA4">
            <w:pPr>
              <w:jc w:val="center"/>
              <w:rPr>
                <w:rFonts w:hint="eastAsia" w:ascii="宋体" w:hAnsi="宋体" w:cs="宋体"/>
                <w:color w:val="auto"/>
                <w:highlight w:val="none"/>
              </w:rPr>
            </w:pPr>
            <w:r>
              <w:rPr>
                <w:rFonts w:hint="eastAsia" w:ascii="宋体" w:hAnsi="宋体" w:cs="宋体"/>
                <w:color w:val="auto"/>
                <w:spacing w:val="84"/>
                <w:highlight w:val="none"/>
              </w:rPr>
              <w:t>„</w:t>
            </w:r>
          </w:p>
        </w:tc>
        <w:tc>
          <w:tcPr>
            <w:tcW w:w="1247" w:type="dxa"/>
            <w:noWrap w:val="0"/>
            <w:vAlign w:val="center"/>
          </w:tcPr>
          <w:p w14:paraId="6F48EC85">
            <w:pPr>
              <w:jc w:val="center"/>
              <w:rPr>
                <w:rFonts w:hint="eastAsia" w:ascii="宋体" w:hAnsi="宋体" w:cs="宋体"/>
                <w:color w:val="auto"/>
                <w:highlight w:val="none"/>
              </w:rPr>
            </w:pPr>
          </w:p>
        </w:tc>
        <w:tc>
          <w:tcPr>
            <w:tcW w:w="1182" w:type="dxa"/>
            <w:noWrap w:val="0"/>
            <w:vAlign w:val="center"/>
          </w:tcPr>
          <w:p w14:paraId="40D73656">
            <w:pPr>
              <w:jc w:val="center"/>
              <w:rPr>
                <w:rFonts w:hint="eastAsia" w:ascii="宋体" w:hAnsi="宋体" w:cs="宋体"/>
                <w:color w:val="auto"/>
                <w:highlight w:val="none"/>
              </w:rPr>
            </w:pPr>
          </w:p>
        </w:tc>
        <w:tc>
          <w:tcPr>
            <w:tcW w:w="921" w:type="dxa"/>
            <w:noWrap w:val="0"/>
            <w:vAlign w:val="center"/>
          </w:tcPr>
          <w:p w14:paraId="3915CEE5">
            <w:pPr>
              <w:jc w:val="center"/>
              <w:rPr>
                <w:rFonts w:hint="eastAsia" w:ascii="宋体" w:hAnsi="宋体" w:cs="宋体"/>
                <w:color w:val="auto"/>
                <w:highlight w:val="none"/>
              </w:rPr>
            </w:pPr>
          </w:p>
        </w:tc>
        <w:tc>
          <w:tcPr>
            <w:tcW w:w="797" w:type="dxa"/>
            <w:noWrap w:val="0"/>
            <w:vAlign w:val="center"/>
          </w:tcPr>
          <w:p w14:paraId="6DE71855">
            <w:pPr>
              <w:jc w:val="center"/>
              <w:rPr>
                <w:rFonts w:hint="eastAsia" w:ascii="宋体" w:hAnsi="宋体" w:cs="宋体"/>
                <w:color w:val="auto"/>
                <w:highlight w:val="none"/>
              </w:rPr>
            </w:pPr>
          </w:p>
        </w:tc>
        <w:tc>
          <w:tcPr>
            <w:tcW w:w="955" w:type="dxa"/>
            <w:noWrap w:val="0"/>
            <w:vAlign w:val="center"/>
          </w:tcPr>
          <w:p w14:paraId="2D440032">
            <w:pPr>
              <w:jc w:val="center"/>
              <w:rPr>
                <w:rFonts w:hint="eastAsia" w:ascii="宋体" w:hAnsi="宋体" w:cs="宋体"/>
                <w:color w:val="auto"/>
                <w:highlight w:val="none"/>
              </w:rPr>
            </w:pPr>
          </w:p>
        </w:tc>
        <w:tc>
          <w:tcPr>
            <w:tcW w:w="1033" w:type="dxa"/>
            <w:noWrap w:val="0"/>
            <w:vAlign w:val="center"/>
          </w:tcPr>
          <w:p w14:paraId="629E17C1">
            <w:pPr>
              <w:jc w:val="center"/>
              <w:rPr>
                <w:rFonts w:hint="eastAsia" w:ascii="宋体" w:hAnsi="宋体" w:cs="宋体"/>
                <w:color w:val="auto"/>
                <w:highlight w:val="none"/>
              </w:rPr>
            </w:pPr>
          </w:p>
        </w:tc>
        <w:tc>
          <w:tcPr>
            <w:tcW w:w="1397" w:type="dxa"/>
            <w:noWrap w:val="0"/>
            <w:vAlign w:val="center"/>
          </w:tcPr>
          <w:p w14:paraId="49D1E109">
            <w:pPr>
              <w:jc w:val="center"/>
              <w:rPr>
                <w:rFonts w:hint="eastAsia" w:ascii="宋体" w:hAnsi="宋体" w:cs="宋体"/>
                <w:color w:val="auto"/>
                <w:highlight w:val="none"/>
              </w:rPr>
            </w:pPr>
          </w:p>
        </w:tc>
      </w:tr>
    </w:tbl>
    <w:p w14:paraId="0AD32B1B">
      <w:pPr>
        <w:spacing w:line="262" w:lineRule="auto"/>
        <w:rPr>
          <w:rFonts w:hint="eastAsia" w:ascii="宋体" w:hAnsi="宋体" w:cs="宋体"/>
          <w:color w:val="auto"/>
          <w:highlight w:val="none"/>
        </w:rPr>
      </w:pPr>
    </w:p>
    <w:p w14:paraId="2163573B">
      <w:pPr>
        <w:spacing w:line="262" w:lineRule="auto"/>
        <w:rPr>
          <w:rFonts w:hint="eastAsia" w:ascii="宋体" w:hAnsi="宋体" w:cs="宋体"/>
          <w:color w:val="auto"/>
          <w:highlight w:val="none"/>
        </w:rPr>
      </w:pPr>
    </w:p>
    <w:p w14:paraId="07402A97">
      <w:pPr>
        <w:spacing w:line="360" w:lineRule="auto"/>
        <w:rPr>
          <w:rFonts w:hint="eastAsia" w:ascii="宋体" w:hAnsi="宋体" w:cs="宋体"/>
          <w:color w:val="auto"/>
          <w:szCs w:val="21"/>
          <w:highlight w:val="none"/>
          <w:lang w:val="zh-CN"/>
        </w:rPr>
      </w:pPr>
    </w:p>
    <w:p w14:paraId="69C20FFB">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67DA65D8">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200E9872">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46D9245">
      <w:pPr>
        <w:spacing w:line="360" w:lineRule="auto"/>
        <w:jc w:val="left"/>
        <w:rPr>
          <w:rFonts w:hint="eastAsia" w:ascii="宋体" w:hAnsi="宋体" w:cs="宋体"/>
          <w:color w:val="auto"/>
          <w:szCs w:val="21"/>
          <w:highlight w:val="none"/>
        </w:rPr>
      </w:pPr>
    </w:p>
    <w:p w14:paraId="484EF3CA">
      <w:pPr>
        <w:spacing w:line="360" w:lineRule="auto"/>
        <w:rPr>
          <w:rFonts w:hint="eastAsia" w:ascii="宋体" w:hAnsi="宋体" w:cs="宋体"/>
          <w:color w:val="auto"/>
          <w:szCs w:val="21"/>
          <w:highlight w:val="none"/>
        </w:rPr>
      </w:pPr>
    </w:p>
    <w:p w14:paraId="0C380C4C">
      <w:pPr>
        <w:spacing w:line="360" w:lineRule="auto"/>
        <w:rPr>
          <w:rFonts w:hint="eastAsia" w:ascii="宋体" w:hAnsi="宋体" w:cs="宋体"/>
          <w:b/>
          <w:bCs/>
          <w:color w:val="auto"/>
          <w:sz w:val="24"/>
          <w:szCs w:val="24"/>
          <w:highlight w:val="none"/>
          <w:lang w:val="zh-CN"/>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lang w:val="en-US" w:eastAsia="zh-CN"/>
        </w:rPr>
        <w:t>8</w:t>
      </w:r>
      <w:r>
        <w:rPr>
          <w:rFonts w:hint="eastAsia" w:ascii="宋体" w:hAnsi="宋体" w:cs="宋体"/>
          <w:b/>
          <w:bCs/>
          <w:color w:val="auto"/>
          <w:sz w:val="24"/>
          <w:szCs w:val="24"/>
          <w:highlight w:val="none"/>
          <w:lang w:val="zh-CN"/>
        </w:rPr>
        <w:t>、</w:t>
      </w:r>
      <w:r>
        <w:rPr>
          <w:rFonts w:hint="eastAsia" w:ascii="宋体" w:hAnsi="宋体" w:cs="宋体"/>
          <w:b/>
          <w:bCs/>
          <w:color w:val="auto"/>
          <w:sz w:val="24"/>
          <w:szCs w:val="24"/>
          <w:highlight w:val="none"/>
        </w:rPr>
        <w:t>类似</w:t>
      </w:r>
      <w:r>
        <w:rPr>
          <w:rFonts w:hint="eastAsia" w:ascii="宋体" w:hAnsi="宋体" w:cs="宋体"/>
          <w:b/>
          <w:color w:val="auto"/>
          <w:spacing w:val="-1"/>
          <w:sz w:val="24"/>
          <w:szCs w:val="24"/>
          <w:highlight w:val="none"/>
        </w:rPr>
        <w:t>业绩一览表</w:t>
      </w:r>
    </w:p>
    <w:p w14:paraId="3393E553">
      <w:pPr>
        <w:tabs>
          <w:tab w:val="left" w:pos="8930"/>
          <w:tab w:val="left" w:pos="9306"/>
        </w:tabs>
        <w:spacing w:line="360" w:lineRule="auto"/>
        <w:rPr>
          <w:rFonts w:hint="eastAsia" w:ascii="宋体" w:hAnsi="宋体" w:cs="宋体"/>
          <w:b/>
          <w:bCs/>
          <w:color w:val="auto"/>
          <w:sz w:val="24"/>
          <w:szCs w:val="24"/>
          <w:highlight w:val="none"/>
        </w:rPr>
      </w:pPr>
    </w:p>
    <w:p w14:paraId="6283C486">
      <w:pPr>
        <w:spacing w:line="360" w:lineRule="auto"/>
        <w:jc w:val="center"/>
        <w:rPr>
          <w:rFonts w:hint="eastAsia" w:ascii="宋体" w:hAnsi="宋体" w:cs="宋体"/>
          <w:bCs/>
          <w:color w:val="auto"/>
          <w:sz w:val="24"/>
          <w:szCs w:val="24"/>
          <w:highlight w:val="none"/>
        </w:rPr>
      </w:pPr>
      <w:r>
        <w:rPr>
          <w:rFonts w:hint="eastAsia" w:ascii="宋体" w:hAnsi="宋体" w:cs="宋体"/>
          <w:b/>
          <w:color w:val="auto"/>
          <w:spacing w:val="-1"/>
          <w:sz w:val="24"/>
          <w:szCs w:val="24"/>
          <w:highlight w:val="none"/>
        </w:rPr>
        <w:t>类似业绩一览表</w:t>
      </w:r>
    </w:p>
    <w:p w14:paraId="34FB657B">
      <w:pPr>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p>
    <w:tbl>
      <w:tblPr>
        <w:tblStyle w:val="286"/>
        <w:tblW w:w="99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2"/>
        <w:gridCol w:w="2870"/>
        <w:gridCol w:w="1621"/>
        <w:gridCol w:w="1928"/>
        <w:gridCol w:w="1993"/>
      </w:tblGrid>
      <w:tr w14:paraId="1EE4B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03FD4C28">
            <w:pPr>
              <w:jc w:val="center"/>
              <w:rPr>
                <w:rFonts w:hint="eastAsia" w:ascii="宋体" w:hAnsi="宋体" w:cs="宋体"/>
                <w:color w:val="auto"/>
                <w:highlight w:val="none"/>
              </w:rPr>
            </w:pPr>
            <w:r>
              <w:rPr>
                <w:rFonts w:hint="eastAsia" w:ascii="宋体" w:hAnsi="宋体" w:cs="宋体"/>
                <w:color w:val="auto"/>
                <w:spacing w:val="-2"/>
                <w:highlight w:val="none"/>
              </w:rPr>
              <w:t>序</w:t>
            </w:r>
            <w:r>
              <w:rPr>
                <w:rFonts w:hint="eastAsia" w:ascii="宋体" w:hAnsi="宋体" w:cs="宋体"/>
                <w:color w:val="auto"/>
                <w:spacing w:val="-1"/>
                <w:highlight w:val="none"/>
              </w:rPr>
              <w:t>号</w:t>
            </w:r>
          </w:p>
        </w:tc>
        <w:tc>
          <w:tcPr>
            <w:tcW w:w="2870" w:type="dxa"/>
            <w:tcBorders>
              <w:top w:val="single" w:color="000000" w:sz="2" w:space="0"/>
              <w:bottom w:val="single" w:color="000000" w:sz="2" w:space="0"/>
            </w:tcBorders>
            <w:noWrap w:val="0"/>
            <w:vAlign w:val="center"/>
          </w:tcPr>
          <w:p w14:paraId="61F1C3DA">
            <w:pPr>
              <w:jc w:val="center"/>
              <w:rPr>
                <w:rFonts w:hint="eastAsia" w:ascii="宋体" w:hAnsi="宋体" w:cs="宋体"/>
                <w:color w:val="auto"/>
                <w:highlight w:val="none"/>
              </w:rPr>
            </w:pPr>
            <w:r>
              <w:rPr>
                <w:rFonts w:hint="eastAsia" w:ascii="宋体" w:hAnsi="宋体" w:cs="宋体"/>
                <w:color w:val="auto"/>
                <w:spacing w:val="-3"/>
                <w:highlight w:val="none"/>
              </w:rPr>
              <w:t>项</w:t>
            </w:r>
            <w:r>
              <w:rPr>
                <w:rFonts w:hint="eastAsia" w:ascii="宋体" w:hAnsi="宋体" w:cs="宋体"/>
                <w:color w:val="auto"/>
                <w:spacing w:val="-2"/>
                <w:highlight w:val="none"/>
              </w:rPr>
              <w:t>目名称</w:t>
            </w:r>
          </w:p>
        </w:tc>
        <w:tc>
          <w:tcPr>
            <w:tcW w:w="1621" w:type="dxa"/>
            <w:tcBorders>
              <w:top w:val="single" w:color="000000" w:sz="2" w:space="0"/>
              <w:bottom w:val="single" w:color="000000" w:sz="2" w:space="0"/>
            </w:tcBorders>
            <w:noWrap w:val="0"/>
            <w:vAlign w:val="center"/>
          </w:tcPr>
          <w:p w14:paraId="3B31DEFA">
            <w:pPr>
              <w:jc w:val="center"/>
              <w:rPr>
                <w:rFonts w:hint="eastAsia" w:ascii="宋体" w:hAnsi="宋体" w:cs="宋体"/>
                <w:color w:val="auto"/>
                <w:highlight w:val="none"/>
              </w:rPr>
            </w:pPr>
            <w:r>
              <w:rPr>
                <w:rFonts w:hint="eastAsia" w:ascii="宋体" w:hAnsi="宋体" w:cs="宋体"/>
                <w:color w:val="auto"/>
                <w:spacing w:val="-2"/>
                <w:highlight w:val="none"/>
              </w:rPr>
              <w:t>合</w:t>
            </w:r>
            <w:r>
              <w:rPr>
                <w:rFonts w:hint="eastAsia" w:ascii="宋体" w:hAnsi="宋体" w:cs="宋体"/>
                <w:color w:val="auto"/>
                <w:spacing w:val="-1"/>
                <w:highlight w:val="none"/>
              </w:rPr>
              <w:t>同期</w:t>
            </w:r>
          </w:p>
        </w:tc>
        <w:tc>
          <w:tcPr>
            <w:tcW w:w="1928" w:type="dxa"/>
            <w:tcBorders>
              <w:top w:val="single" w:color="000000" w:sz="2" w:space="0"/>
              <w:bottom w:val="single" w:color="000000" w:sz="2" w:space="0"/>
            </w:tcBorders>
            <w:noWrap w:val="0"/>
            <w:vAlign w:val="center"/>
          </w:tcPr>
          <w:p w14:paraId="6A4A4311">
            <w:pPr>
              <w:jc w:val="center"/>
              <w:rPr>
                <w:rFonts w:hint="eastAsia" w:ascii="宋体" w:hAnsi="宋体" w:cs="宋体"/>
                <w:color w:val="auto"/>
                <w:highlight w:val="none"/>
              </w:rPr>
            </w:pPr>
            <w:r>
              <w:rPr>
                <w:rFonts w:hint="eastAsia" w:ascii="宋体" w:hAnsi="宋体" w:cs="宋体"/>
                <w:color w:val="auto"/>
                <w:spacing w:val="15"/>
                <w:highlight w:val="none"/>
              </w:rPr>
              <w:t>合</w:t>
            </w:r>
            <w:r>
              <w:rPr>
                <w:rFonts w:hint="eastAsia" w:ascii="宋体" w:hAnsi="宋体" w:cs="宋体"/>
                <w:color w:val="auto"/>
                <w:spacing w:val="12"/>
                <w:highlight w:val="none"/>
              </w:rPr>
              <w:t>同金额(万元)</w:t>
            </w:r>
          </w:p>
        </w:tc>
        <w:tc>
          <w:tcPr>
            <w:tcW w:w="1993" w:type="dxa"/>
            <w:tcBorders>
              <w:top w:val="single" w:color="000000" w:sz="2" w:space="0"/>
              <w:bottom w:val="single" w:color="000000" w:sz="2" w:space="0"/>
            </w:tcBorders>
            <w:noWrap w:val="0"/>
            <w:vAlign w:val="center"/>
          </w:tcPr>
          <w:p w14:paraId="259541FD">
            <w:pPr>
              <w:jc w:val="center"/>
              <w:rPr>
                <w:rFonts w:hint="eastAsia" w:ascii="宋体" w:hAnsi="宋体" w:cs="宋体"/>
                <w:color w:val="auto"/>
                <w:highlight w:val="none"/>
              </w:rPr>
            </w:pPr>
            <w:r>
              <w:rPr>
                <w:rFonts w:hint="eastAsia" w:ascii="宋体" w:hAnsi="宋体" w:cs="宋体"/>
                <w:color w:val="auto"/>
                <w:spacing w:val="-3"/>
                <w:highlight w:val="none"/>
              </w:rPr>
              <w:t>备</w:t>
            </w:r>
            <w:r>
              <w:rPr>
                <w:rFonts w:hint="eastAsia" w:ascii="宋体" w:hAnsi="宋体" w:cs="宋体"/>
                <w:color w:val="auto"/>
                <w:spacing w:val="-2"/>
                <w:highlight w:val="none"/>
              </w:rPr>
              <w:t>注</w:t>
            </w:r>
          </w:p>
        </w:tc>
      </w:tr>
      <w:tr w14:paraId="0BB609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46CF04E7">
            <w:pPr>
              <w:jc w:val="center"/>
              <w:rPr>
                <w:rFonts w:hint="eastAsia" w:ascii="宋体" w:hAnsi="宋体" w:cs="宋体"/>
                <w:color w:val="auto"/>
                <w:highlight w:val="none"/>
              </w:rPr>
            </w:pPr>
            <w:r>
              <w:rPr>
                <w:rFonts w:hint="eastAsia" w:ascii="宋体" w:hAnsi="宋体" w:cs="宋体"/>
                <w:color w:val="auto"/>
                <w:highlight w:val="none"/>
              </w:rPr>
              <w:t>1</w:t>
            </w:r>
          </w:p>
        </w:tc>
        <w:tc>
          <w:tcPr>
            <w:tcW w:w="2870" w:type="dxa"/>
            <w:tcBorders>
              <w:top w:val="single" w:color="000000" w:sz="2" w:space="0"/>
              <w:bottom w:val="single" w:color="000000" w:sz="2" w:space="0"/>
            </w:tcBorders>
            <w:noWrap w:val="0"/>
            <w:vAlign w:val="center"/>
          </w:tcPr>
          <w:p w14:paraId="59EFB644">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08DEA3BC">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39E6FF3C">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05A0E68F">
            <w:pPr>
              <w:jc w:val="center"/>
              <w:rPr>
                <w:rFonts w:hint="eastAsia" w:ascii="宋体" w:hAnsi="宋体" w:cs="宋体"/>
                <w:color w:val="auto"/>
                <w:highlight w:val="none"/>
              </w:rPr>
            </w:pPr>
          </w:p>
        </w:tc>
      </w:tr>
      <w:tr w14:paraId="0280F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18877D1A">
            <w:pPr>
              <w:jc w:val="center"/>
              <w:rPr>
                <w:rFonts w:hint="eastAsia" w:ascii="宋体" w:hAnsi="宋体" w:cs="宋体"/>
                <w:color w:val="auto"/>
                <w:highlight w:val="none"/>
              </w:rPr>
            </w:pPr>
            <w:r>
              <w:rPr>
                <w:rFonts w:hint="eastAsia" w:ascii="宋体" w:hAnsi="宋体" w:cs="宋体"/>
                <w:color w:val="auto"/>
                <w:highlight w:val="none"/>
              </w:rPr>
              <w:t>2</w:t>
            </w:r>
          </w:p>
        </w:tc>
        <w:tc>
          <w:tcPr>
            <w:tcW w:w="2870" w:type="dxa"/>
            <w:tcBorders>
              <w:top w:val="single" w:color="000000" w:sz="2" w:space="0"/>
              <w:bottom w:val="single" w:color="000000" w:sz="2" w:space="0"/>
            </w:tcBorders>
            <w:noWrap w:val="0"/>
            <w:vAlign w:val="center"/>
          </w:tcPr>
          <w:p w14:paraId="25DC2C9B">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7367729A">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2EB93A59">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4EBD161C">
            <w:pPr>
              <w:jc w:val="center"/>
              <w:rPr>
                <w:rFonts w:hint="eastAsia" w:ascii="宋体" w:hAnsi="宋体" w:cs="宋体"/>
                <w:color w:val="auto"/>
                <w:highlight w:val="none"/>
              </w:rPr>
            </w:pPr>
          </w:p>
        </w:tc>
      </w:tr>
      <w:tr w14:paraId="402F0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7C6EE3B2">
            <w:pPr>
              <w:jc w:val="center"/>
              <w:rPr>
                <w:rFonts w:hint="eastAsia" w:ascii="宋体" w:hAnsi="宋体" w:cs="宋体"/>
                <w:color w:val="auto"/>
                <w:highlight w:val="none"/>
              </w:rPr>
            </w:pPr>
            <w:r>
              <w:rPr>
                <w:rFonts w:hint="eastAsia" w:ascii="宋体" w:hAnsi="宋体" w:cs="宋体"/>
                <w:color w:val="auto"/>
                <w:highlight w:val="none"/>
              </w:rPr>
              <w:t>3</w:t>
            </w:r>
          </w:p>
        </w:tc>
        <w:tc>
          <w:tcPr>
            <w:tcW w:w="2870" w:type="dxa"/>
            <w:tcBorders>
              <w:top w:val="single" w:color="000000" w:sz="2" w:space="0"/>
              <w:bottom w:val="single" w:color="000000" w:sz="2" w:space="0"/>
            </w:tcBorders>
            <w:noWrap w:val="0"/>
            <w:vAlign w:val="center"/>
          </w:tcPr>
          <w:p w14:paraId="265F3D96">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57795D0C">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771E6FC1">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345D56FB">
            <w:pPr>
              <w:jc w:val="center"/>
              <w:rPr>
                <w:rFonts w:hint="eastAsia" w:ascii="宋体" w:hAnsi="宋体" w:cs="宋体"/>
                <w:color w:val="auto"/>
                <w:highlight w:val="none"/>
              </w:rPr>
            </w:pPr>
          </w:p>
        </w:tc>
      </w:tr>
      <w:tr w14:paraId="25D6B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72DCCC0C">
            <w:pPr>
              <w:jc w:val="center"/>
              <w:rPr>
                <w:rFonts w:hint="eastAsia" w:ascii="宋体" w:hAnsi="宋体" w:cs="宋体"/>
                <w:color w:val="auto"/>
                <w:highlight w:val="none"/>
              </w:rPr>
            </w:pPr>
            <w:r>
              <w:rPr>
                <w:rFonts w:hint="eastAsia" w:ascii="宋体" w:hAnsi="宋体" w:cs="宋体"/>
                <w:color w:val="auto"/>
                <w:highlight w:val="none"/>
              </w:rPr>
              <w:t>4</w:t>
            </w:r>
          </w:p>
        </w:tc>
        <w:tc>
          <w:tcPr>
            <w:tcW w:w="2870" w:type="dxa"/>
            <w:tcBorders>
              <w:top w:val="single" w:color="000000" w:sz="2" w:space="0"/>
              <w:bottom w:val="single" w:color="000000" w:sz="2" w:space="0"/>
            </w:tcBorders>
            <w:noWrap w:val="0"/>
            <w:vAlign w:val="center"/>
          </w:tcPr>
          <w:p w14:paraId="2AFEDB1F">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2183766E">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39AE0E9A">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25227745">
            <w:pPr>
              <w:jc w:val="center"/>
              <w:rPr>
                <w:rFonts w:hint="eastAsia" w:ascii="宋体" w:hAnsi="宋体" w:cs="宋体"/>
                <w:color w:val="auto"/>
                <w:highlight w:val="none"/>
              </w:rPr>
            </w:pPr>
          </w:p>
        </w:tc>
      </w:tr>
      <w:tr w14:paraId="093E2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74DE9CC8">
            <w:pPr>
              <w:jc w:val="center"/>
              <w:rPr>
                <w:rFonts w:hint="eastAsia" w:ascii="宋体" w:hAnsi="宋体" w:cs="宋体"/>
                <w:color w:val="auto"/>
                <w:highlight w:val="none"/>
              </w:rPr>
            </w:pPr>
            <w:r>
              <w:rPr>
                <w:rFonts w:hint="eastAsia" w:ascii="宋体" w:hAnsi="宋体" w:cs="宋体"/>
                <w:color w:val="auto"/>
                <w:highlight w:val="none"/>
              </w:rPr>
              <w:t>5</w:t>
            </w:r>
          </w:p>
        </w:tc>
        <w:tc>
          <w:tcPr>
            <w:tcW w:w="2870" w:type="dxa"/>
            <w:tcBorders>
              <w:top w:val="single" w:color="000000" w:sz="2" w:space="0"/>
              <w:bottom w:val="single" w:color="000000" w:sz="2" w:space="0"/>
            </w:tcBorders>
            <w:noWrap w:val="0"/>
            <w:vAlign w:val="center"/>
          </w:tcPr>
          <w:p w14:paraId="6A62EAD1">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5E8EFA6D">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2A5F5A46">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4A2CC5A1">
            <w:pPr>
              <w:jc w:val="center"/>
              <w:rPr>
                <w:rFonts w:hint="eastAsia" w:ascii="宋体" w:hAnsi="宋体" w:cs="宋体"/>
                <w:color w:val="auto"/>
                <w:highlight w:val="none"/>
              </w:rPr>
            </w:pPr>
          </w:p>
        </w:tc>
      </w:tr>
      <w:tr w14:paraId="017A3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0FC5CDAE">
            <w:pPr>
              <w:jc w:val="center"/>
              <w:rPr>
                <w:rFonts w:hint="eastAsia" w:ascii="宋体" w:hAnsi="宋体" w:cs="宋体"/>
                <w:color w:val="auto"/>
                <w:highlight w:val="none"/>
              </w:rPr>
            </w:pPr>
          </w:p>
        </w:tc>
        <w:tc>
          <w:tcPr>
            <w:tcW w:w="2870" w:type="dxa"/>
            <w:tcBorders>
              <w:top w:val="single" w:color="000000" w:sz="2" w:space="0"/>
              <w:bottom w:val="single" w:color="000000" w:sz="2" w:space="0"/>
            </w:tcBorders>
            <w:noWrap w:val="0"/>
            <w:vAlign w:val="center"/>
          </w:tcPr>
          <w:p w14:paraId="227BA210">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413FEB93">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65031A79">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7131DE96">
            <w:pPr>
              <w:jc w:val="center"/>
              <w:rPr>
                <w:rFonts w:hint="eastAsia" w:ascii="宋体" w:hAnsi="宋体" w:cs="宋体"/>
                <w:color w:val="auto"/>
                <w:highlight w:val="none"/>
              </w:rPr>
            </w:pPr>
          </w:p>
        </w:tc>
      </w:tr>
      <w:tr w14:paraId="193AE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7DDA001F">
            <w:pPr>
              <w:jc w:val="center"/>
              <w:rPr>
                <w:rFonts w:hint="eastAsia" w:ascii="宋体" w:hAnsi="宋体" w:cs="宋体"/>
                <w:color w:val="auto"/>
                <w:highlight w:val="none"/>
              </w:rPr>
            </w:pPr>
          </w:p>
        </w:tc>
        <w:tc>
          <w:tcPr>
            <w:tcW w:w="2870" w:type="dxa"/>
            <w:tcBorders>
              <w:top w:val="single" w:color="000000" w:sz="2" w:space="0"/>
              <w:bottom w:val="single" w:color="000000" w:sz="2" w:space="0"/>
            </w:tcBorders>
            <w:noWrap w:val="0"/>
            <w:vAlign w:val="center"/>
          </w:tcPr>
          <w:p w14:paraId="2EE02214">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7E2E5D4A">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10853ECE">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248A445B">
            <w:pPr>
              <w:jc w:val="center"/>
              <w:rPr>
                <w:rFonts w:hint="eastAsia" w:ascii="宋体" w:hAnsi="宋体" w:cs="宋体"/>
                <w:color w:val="auto"/>
                <w:highlight w:val="none"/>
              </w:rPr>
            </w:pPr>
          </w:p>
        </w:tc>
      </w:tr>
      <w:tr w14:paraId="410A3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542" w:type="dxa"/>
            <w:tcBorders>
              <w:top w:val="single" w:color="000000" w:sz="2" w:space="0"/>
              <w:bottom w:val="single" w:color="000000" w:sz="2" w:space="0"/>
            </w:tcBorders>
            <w:noWrap w:val="0"/>
            <w:vAlign w:val="center"/>
          </w:tcPr>
          <w:p w14:paraId="3EE7D39C">
            <w:pPr>
              <w:jc w:val="center"/>
              <w:rPr>
                <w:rFonts w:hint="eastAsia" w:ascii="宋体" w:hAnsi="宋体" w:cs="宋体"/>
                <w:color w:val="auto"/>
                <w:highlight w:val="none"/>
              </w:rPr>
            </w:pPr>
          </w:p>
        </w:tc>
        <w:tc>
          <w:tcPr>
            <w:tcW w:w="2870" w:type="dxa"/>
            <w:tcBorders>
              <w:top w:val="single" w:color="000000" w:sz="2" w:space="0"/>
              <w:bottom w:val="single" w:color="000000" w:sz="2" w:space="0"/>
            </w:tcBorders>
            <w:noWrap w:val="0"/>
            <w:vAlign w:val="center"/>
          </w:tcPr>
          <w:p w14:paraId="7C6D4584">
            <w:pPr>
              <w:jc w:val="center"/>
              <w:rPr>
                <w:rFonts w:hint="eastAsia" w:ascii="宋体" w:hAnsi="宋体" w:cs="宋体"/>
                <w:color w:val="auto"/>
                <w:highlight w:val="none"/>
              </w:rPr>
            </w:pPr>
          </w:p>
        </w:tc>
        <w:tc>
          <w:tcPr>
            <w:tcW w:w="1621" w:type="dxa"/>
            <w:tcBorders>
              <w:top w:val="single" w:color="000000" w:sz="2" w:space="0"/>
              <w:bottom w:val="single" w:color="000000" w:sz="2" w:space="0"/>
            </w:tcBorders>
            <w:noWrap w:val="0"/>
            <w:vAlign w:val="center"/>
          </w:tcPr>
          <w:p w14:paraId="1187E0E7">
            <w:pPr>
              <w:jc w:val="center"/>
              <w:rPr>
                <w:rFonts w:hint="eastAsia" w:ascii="宋体" w:hAnsi="宋体" w:cs="宋体"/>
                <w:color w:val="auto"/>
                <w:highlight w:val="none"/>
              </w:rPr>
            </w:pPr>
          </w:p>
        </w:tc>
        <w:tc>
          <w:tcPr>
            <w:tcW w:w="1928" w:type="dxa"/>
            <w:tcBorders>
              <w:top w:val="single" w:color="000000" w:sz="2" w:space="0"/>
              <w:bottom w:val="single" w:color="000000" w:sz="2" w:space="0"/>
            </w:tcBorders>
            <w:noWrap w:val="0"/>
            <w:vAlign w:val="center"/>
          </w:tcPr>
          <w:p w14:paraId="66950691">
            <w:pPr>
              <w:jc w:val="center"/>
              <w:rPr>
                <w:rFonts w:hint="eastAsia" w:ascii="宋体" w:hAnsi="宋体" w:cs="宋体"/>
                <w:color w:val="auto"/>
                <w:highlight w:val="none"/>
              </w:rPr>
            </w:pPr>
          </w:p>
        </w:tc>
        <w:tc>
          <w:tcPr>
            <w:tcW w:w="1993" w:type="dxa"/>
            <w:tcBorders>
              <w:top w:val="single" w:color="000000" w:sz="2" w:space="0"/>
              <w:bottom w:val="single" w:color="000000" w:sz="2" w:space="0"/>
            </w:tcBorders>
            <w:noWrap w:val="0"/>
            <w:vAlign w:val="center"/>
          </w:tcPr>
          <w:p w14:paraId="417A04C6">
            <w:pPr>
              <w:jc w:val="center"/>
              <w:rPr>
                <w:rFonts w:hint="eastAsia" w:ascii="宋体" w:hAnsi="宋体" w:cs="宋体"/>
                <w:color w:val="auto"/>
                <w:highlight w:val="none"/>
              </w:rPr>
            </w:pPr>
          </w:p>
        </w:tc>
      </w:tr>
    </w:tbl>
    <w:p w14:paraId="1C840EDB">
      <w:pPr>
        <w:spacing w:line="360" w:lineRule="auto"/>
        <w:rPr>
          <w:rFonts w:hint="eastAsia" w:ascii="宋体" w:hAnsi="宋体" w:cs="宋体"/>
          <w:color w:val="auto"/>
          <w:szCs w:val="21"/>
          <w:highlight w:val="none"/>
        </w:rPr>
      </w:pPr>
    </w:p>
    <w:p w14:paraId="36712BC3">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12E1D50F">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26B09E47">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0B7F41A">
      <w:pPr>
        <w:spacing w:line="360" w:lineRule="auto"/>
        <w:rPr>
          <w:rFonts w:hint="eastAsia" w:ascii="宋体" w:hAnsi="宋体" w:cs="宋体"/>
          <w:color w:val="auto"/>
          <w:szCs w:val="21"/>
          <w:highlight w:val="none"/>
          <w:lang w:val="zh-CN"/>
        </w:rPr>
      </w:pPr>
    </w:p>
    <w:p w14:paraId="06481573">
      <w:pPr>
        <w:spacing w:line="360" w:lineRule="auto"/>
        <w:rPr>
          <w:rFonts w:hint="eastAsia" w:ascii="宋体" w:hAnsi="宋体" w:cs="宋体"/>
          <w:b/>
          <w:color w:val="auto"/>
          <w:szCs w:val="21"/>
          <w:highlight w:val="none"/>
        </w:rPr>
      </w:pPr>
    </w:p>
    <w:p w14:paraId="762F1DCC">
      <w:pPr>
        <w:widowControl/>
        <w:spacing w:line="360" w:lineRule="auto"/>
        <w:ind w:firstLine="1365"/>
        <w:jc w:val="left"/>
        <w:rPr>
          <w:rFonts w:ascii="sans-serif" w:hAnsi="sans-serif" w:eastAsia="sans-serif" w:cs="sans-serif"/>
          <w:color w:val="auto"/>
          <w:szCs w:val="21"/>
          <w:highlight w:val="none"/>
        </w:rPr>
      </w:pPr>
      <w:r>
        <w:rPr>
          <w:rFonts w:hint="eastAsia" w:ascii="宋体" w:hAnsi="宋体"/>
          <w:b/>
          <w:color w:val="auto"/>
          <w:szCs w:val="21"/>
          <w:highlight w:val="none"/>
        </w:rPr>
        <w:br w:type="page" w:clear="all"/>
      </w:r>
    </w:p>
    <w:p w14:paraId="47274D5C">
      <w:pPr>
        <w:spacing w:line="360" w:lineRule="auto"/>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cs="宋体"/>
          <w:b/>
          <w:bCs/>
          <w:color w:val="auto"/>
          <w:sz w:val="24"/>
          <w:szCs w:val="24"/>
          <w:highlight w:val="none"/>
        </w:rPr>
        <w:t>、资格证明文件</w:t>
      </w:r>
    </w:p>
    <w:p w14:paraId="6580AB56">
      <w:pPr>
        <w:spacing w:line="360" w:lineRule="auto"/>
        <w:jc w:val="left"/>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（1）关于资格文件的声明函</w:t>
      </w:r>
    </w:p>
    <w:p w14:paraId="2F1AD342">
      <w:pPr>
        <w:spacing w:line="360" w:lineRule="auto"/>
        <w:jc w:val="left"/>
        <w:rPr>
          <w:rFonts w:hint="eastAsia" w:ascii="宋体" w:hAnsi="宋体" w:cs="宋体"/>
          <w:b/>
          <w:bCs/>
          <w:color w:val="auto"/>
          <w:sz w:val="24"/>
          <w:szCs w:val="24"/>
          <w:highlight w:val="none"/>
        </w:rPr>
      </w:pPr>
    </w:p>
    <w:p w14:paraId="36A540CC">
      <w:pPr>
        <w:spacing w:line="360" w:lineRule="auto"/>
        <w:jc w:val="left"/>
        <w:rPr>
          <w:rFonts w:hint="eastAsia" w:ascii="宋体" w:hAnsi="宋体" w:cs="宋体"/>
          <w:b/>
          <w:bCs/>
          <w:color w:val="auto"/>
          <w:sz w:val="24"/>
          <w:szCs w:val="24"/>
          <w:highlight w:val="none"/>
        </w:rPr>
      </w:pPr>
    </w:p>
    <w:p w14:paraId="77B89A3E">
      <w:pPr>
        <w:spacing w:line="360" w:lineRule="auto"/>
        <w:jc w:val="center"/>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关于资格文件的声明函</w:t>
      </w:r>
    </w:p>
    <w:p w14:paraId="6F88CCC7">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E4B5236">
      <w:pPr>
        <w:spacing w:line="360" w:lineRule="auto"/>
        <w:ind w:firstLine="420"/>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号的磋商活动进行商务磋商。本公司所提交的商务、技术及报价文件中所有关于磋商资格的文件、证明和陈述均是真实的、准确的。若与真实情况不符，本公司愿意承担由此而产生的一切后果。</w:t>
      </w:r>
    </w:p>
    <w:p w14:paraId="5A478A90">
      <w:pPr>
        <w:spacing w:line="360" w:lineRule="auto"/>
        <w:jc w:val="left"/>
        <w:rPr>
          <w:rFonts w:hint="eastAsia" w:ascii="宋体" w:hAnsi="宋体" w:cs="宋体"/>
          <w:color w:val="auto"/>
          <w:sz w:val="24"/>
          <w:szCs w:val="24"/>
          <w:highlight w:val="none"/>
        </w:rPr>
      </w:pPr>
    </w:p>
    <w:p w14:paraId="2D2FB163">
      <w:pPr>
        <w:spacing w:line="360" w:lineRule="auto"/>
        <w:jc w:val="left"/>
        <w:rPr>
          <w:rFonts w:hint="eastAsia" w:ascii="宋体" w:hAnsi="宋体" w:cs="宋体"/>
          <w:color w:val="auto"/>
          <w:sz w:val="24"/>
          <w:szCs w:val="24"/>
          <w:highlight w:val="none"/>
        </w:rPr>
      </w:pPr>
    </w:p>
    <w:p w14:paraId="0D00684C">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0CF32AA8">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172C9640">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85A759D">
      <w:pPr>
        <w:spacing w:line="360" w:lineRule="auto"/>
        <w:jc w:val="left"/>
        <w:rPr>
          <w:rFonts w:hint="eastAsia" w:ascii="宋体" w:hAnsi="宋体" w:cs="宋体"/>
          <w:color w:val="auto"/>
          <w:szCs w:val="21"/>
          <w:highlight w:val="none"/>
        </w:rPr>
      </w:pPr>
    </w:p>
    <w:p w14:paraId="6140E6D9">
      <w:pPr>
        <w:spacing w:line="360" w:lineRule="auto"/>
        <w:jc w:val="left"/>
        <w:rPr>
          <w:rFonts w:hint="eastAsia" w:ascii="宋体" w:hAnsi="宋体" w:cs="宋体"/>
          <w:color w:val="auto"/>
          <w:szCs w:val="21"/>
          <w:highlight w:val="none"/>
        </w:rPr>
      </w:pPr>
    </w:p>
    <w:p w14:paraId="1522ADF5">
      <w:pPr>
        <w:spacing w:line="360" w:lineRule="auto"/>
        <w:jc w:val="left"/>
        <w:rPr>
          <w:rFonts w:hint="eastAsia" w:ascii="宋体" w:hAnsi="宋体" w:cs="宋体"/>
          <w:color w:val="auto"/>
          <w:szCs w:val="21"/>
          <w:highlight w:val="none"/>
        </w:rPr>
      </w:pPr>
    </w:p>
    <w:p w14:paraId="0232A91C">
      <w:pPr>
        <w:spacing w:line="360" w:lineRule="auto"/>
        <w:jc w:val="left"/>
        <w:rPr>
          <w:rFonts w:hint="eastAsia" w:ascii="宋体" w:hAnsi="宋体" w:cs="宋体"/>
          <w:color w:val="auto"/>
          <w:szCs w:val="21"/>
          <w:highlight w:val="none"/>
        </w:rPr>
      </w:pPr>
    </w:p>
    <w:p w14:paraId="0599F5F4">
      <w:pPr>
        <w:spacing w:line="360" w:lineRule="auto"/>
        <w:jc w:val="left"/>
        <w:rPr>
          <w:rFonts w:hint="eastAsia" w:ascii="宋体" w:hAnsi="宋体" w:cs="宋体"/>
          <w:color w:val="auto"/>
          <w:szCs w:val="21"/>
          <w:highlight w:val="none"/>
        </w:rPr>
      </w:pPr>
    </w:p>
    <w:p w14:paraId="0594F48E">
      <w:pPr>
        <w:spacing w:line="360" w:lineRule="auto"/>
        <w:jc w:val="left"/>
        <w:rPr>
          <w:rFonts w:hint="eastAsia" w:ascii="宋体" w:hAnsi="宋体" w:cs="宋体"/>
          <w:color w:val="auto"/>
          <w:szCs w:val="21"/>
          <w:highlight w:val="none"/>
        </w:rPr>
      </w:pPr>
    </w:p>
    <w:p w14:paraId="1BE5CB2D">
      <w:pPr>
        <w:spacing w:line="360" w:lineRule="auto"/>
        <w:jc w:val="left"/>
        <w:rPr>
          <w:rFonts w:hint="eastAsia" w:ascii="宋体" w:hAnsi="宋体" w:cs="宋体"/>
          <w:color w:val="auto"/>
          <w:szCs w:val="21"/>
          <w:highlight w:val="none"/>
        </w:rPr>
      </w:pPr>
    </w:p>
    <w:p w14:paraId="06C4D845">
      <w:pPr>
        <w:spacing w:line="360" w:lineRule="auto"/>
        <w:jc w:val="left"/>
        <w:rPr>
          <w:rFonts w:hint="eastAsia" w:ascii="宋体" w:hAnsi="宋体" w:cs="宋体"/>
          <w:color w:val="auto"/>
          <w:szCs w:val="21"/>
          <w:highlight w:val="none"/>
        </w:rPr>
      </w:pPr>
    </w:p>
    <w:p w14:paraId="1F0E350D">
      <w:pPr>
        <w:spacing w:line="360" w:lineRule="auto"/>
        <w:jc w:val="left"/>
        <w:rPr>
          <w:rFonts w:hint="eastAsia" w:ascii="宋体" w:hAnsi="宋体" w:cs="宋体"/>
          <w:color w:val="auto"/>
          <w:szCs w:val="21"/>
          <w:highlight w:val="none"/>
        </w:rPr>
      </w:pPr>
    </w:p>
    <w:p w14:paraId="01D770B7">
      <w:pPr>
        <w:spacing w:line="360" w:lineRule="auto"/>
        <w:jc w:val="left"/>
        <w:rPr>
          <w:rFonts w:hint="eastAsia" w:ascii="宋体" w:hAnsi="宋体" w:cs="宋体"/>
          <w:color w:val="auto"/>
          <w:szCs w:val="21"/>
          <w:highlight w:val="none"/>
        </w:rPr>
      </w:pPr>
    </w:p>
    <w:p w14:paraId="737DB99B">
      <w:pPr>
        <w:spacing w:line="360" w:lineRule="auto"/>
        <w:jc w:val="left"/>
        <w:rPr>
          <w:rFonts w:hint="eastAsia" w:ascii="宋体" w:hAnsi="宋体" w:cs="宋体"/>
          <w:color w:val="auto"/>
          <w:szCs w:val="21"/>
          <w:highlight w:val="none"/>
        </w:rPr>
      </w:pPr>
    </w:p>
    <w:p w14:paraId="56126413">
      <w:pPr>
        <w:spacing w:line="360" w:lineRule="auto"/>
        <w:jc w:val="left"/>
        <w:rPr>
          <w:rFonts w:hint="eastAsia" w:ascii="宋体" w:hAnsi="宋体" w:cs="宋体"/>
          <w:color w:val="auto"/>
          <w:szCs w:val="21"/>
          <w:highlight w:val="none"/>
        </w:rPr>
      </w:pPr>
    </w:p>
    <w:p w14:paraId="6C282AF1">
      <w:pPr>
        <w:spacing w:line="360" w:lineRule="auto"/>
        <w:jc w:val="left"/>
        <w:rPr>
          <w:rFonts w:hint="eastAsia" w:ascii="宋体" w:hAnsi="宋体" w:cs="宋体"/>
          <w:color w:val="auto"/>
          <w:szCs w:val="21"/>
          <w:highlight w:val="none"/>
        </w:rPr>
      </w:pPr>
    </w:p>
    <w:p w14:paraId="3CFC5224">
      <w:pPr>
        <w:spacing w:line="360" w:lineRule="auto"/>
        <w:jc w:val="left"/>
        <w:rPr>
          <w:rFonts w:hint="eastAsia" w:ascii="宋体" w:hAnsi="宋体" w:cs="宋体"/>
          <w:color w:val="auto"/>
          <w:szCs w:val="21"/>
          <w:highlight w:val="none"/>
        </w:rPr>
      </w:pPr>
    </w:p>
    <w:p w14:paraId="5603C4BB">
      <w:pPr>
        <w:spacing w:line="360" w:lineRule="auto"/>
        <w:jc w:val="left"/>
        <w:rPr>
          <w:rFonts w:hint="eastAsia" w:ascii="宋体" w:hAnsi="宋体" w:cs="宋体"/>
          <w:color w:val="auto"/>
          <w:szCs w:val="21"/>
          <w:highlight w:val="none"/>
        </w:rPr>
      </w:pPr>
    </w:p>
    <w:p w14:paraId="7F9AD9F2">
      <w:pPr>
        <w:spacing w:line="360" w:lineRule="auto"/>
        <w:jc w:val="left"/>
        <w:outlineLvl w:val="1"/>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szCs w:val="24"/>
          <w:highlight w:val="none"/>
        </w:rPr>
        <w:t>（2）</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情况表</w:t>
      </w:r>
    </w:p>
    <w:p w14:paraId="6A635599">
      <w:pPr>
        <w:spacing w:line="360" w:lineRule="auto"/>
        <w:jc w:val="center"/>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情况表</w:t>
      </w:r>
    </w:p>
    <w:p w14:paraId="1497BD85">
      <w:pPr>
        <w:spacing w:line="360" w:lineRule="auto"/>
        <w:jc w:val="left"/>
        <w:rPr>
          <w:rFonts w:hint="eastAsia" w:ascii="宋体" w:hAnsi="宋体" w:cs="宋体"/>
          <w:color w:val="auto"/>
          <w:szCs w:val="21"/>
          <w:highlight w:val="none"/>
        </w:rPr>
      </w:pP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53"/>
        <w:gridCol w:w="1800"/>
        <w:gridCol w:w="2160"/>
        <w:gridCol w:w="1440"/>
        <w:gridCol w:w="1120"/>
      </w:tblGrid>
      <w:tr w14:paraId="101B3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2A236BD2">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1800" w:type="dxa"/>
            <w:noWrap w:val="0"/>
            <w:vAlign w:val="center"/>
          </w:tcPr>
          <w:p w14:paraId="565D5329">
            <w:pPr>
              <w:jc w:val="left"/>
              <w:rPr>
                <w:rFonts w:hint="eastAsia" w:ascii="宋体" w:hAnsi="宋体" w:cs="宋体"/>
                <w:color w:val="auto"/>
                <w:szCs w:val="21"/>
                <w:highlight w:val="none"/>
              </w:rPr>
            </w:pPr>
          </w:p>
        </w:tc>
        <w:tc>
          <w:tcPr>
            <w:tcW w:w="2160" w:type="dxa"/>
            <w:noWrap w:val="0"/>
            <w:vAlign w:val="center"/>
          </w:tcPr>
          <w:p w14:paraId="26D7E50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成立日期</w:t>
            </w:r>
          </w:p>
        </w:tc>
        <w:tc>
          <w:tcPr>
            <w:tcW w:w="2560" w:type="dxa"/>
            <w:gridSpan w:val="2"/>
            <w:noWrap w:val="0"/>
            <w:vAlign w:val="center"/>
          </w:tcPr>
          <w:p w14:paraId="1D13AA86">
            <w:pPr>
              <w:jc w:val="left"/>
              <w:rPr>
                <w:rFonts w:hint="eastAsia" w:ascii="宋体" w:hAnsi="宋体" w:cs="宋体"/>
                <w:color w:val="auto"/>
                <w:szCs w:val="21"/>
                <w:highlight w:val="none"/>
              </w:rPr>
            </w:pPr>
          </w:p>
        </w:tc>
      </w:tr>
      <w:tr w14:paraId="63A27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376667A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企业地址</w:t>
            </w:r>
          </w:p>
        </w:tc>
        <w:tc>
          <w:tcPr>
            <w:tcW w:w="1800" w:type="dxa"/>
            <w:noWrap w:val="0"/>
            <w:vAlign w:val="center"/>
          </w:tcPr>
          <w:p w14:paraId="0AEE53D4">
            <w:pPr>
              <w:jc w:val="left"/>
              <w:rPr>
                <w:rFonts w:hint="eastAsia" w:ascii="宋体" w:hAnsi="宋体" w:cs="宋体"/>
                <w:color w:val="auto"/>
                <w:szCs w:val="21"/>
                <w:highlight w:val="none"/>
              </w:rPr>
            </w:pPr>
          </w:p>
        </w:tc>
        <w:tc>
          <w:tcPr>
            <w:tcW w:w="2160" w:type="dxa"/>
            <w:noWrap w:val="0"/>
            <w:vAlign w:val="center"/>
          </w:tcPr>
          <w:p w14:paraId="57B9A040">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注册资本</w:t>
            </w:r>
          </w:p>
        </w:tc>
        <w:tc>
          <w:tcPr>
            <w:tcW w:w="2560" w:type="dxa"/>
            <w:gridSpan w:val="2"/>
            <w:noWrap w:val="0"/>
            <w:vAlign w:val="center"/>
          </w:tcPr>
          <w:p w14:paraId="26E1F983">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万元</w:t>
            </w:r>
          </w:p>
        </w:tc>
      </w:tr>
      <w:tr w14:paraId="06FA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3A6229BD">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经营范围</w:t>
            </w:r>
          </w:p>
        </w:tc>
        <w:tc>
          <w:tcPr>
            <w:tcW w:w="6520" w:type="dxa"/>
            <w:gridSpan w:val="4"/>
            <w:noWrap w:val="0"/>
            <w:vAlign w:val="center"/>
          </w:tcPr>
          <w:p w14:paraId="3B199312">
            <w:pPr>
              <w:jc w:val="left"/>
              <w:rPr>
                <w:rFonts w:hint="eastAsia" w:ascii="宋体" w:hAnsi="宋体" w:cs="宋体"/>
                <w:color w:val="auto"/>
                <w:szCs w:val="21"/>
                <w:highlight w:val="none"/>
              </w:rPr>
            </w:pPr>
          </w:p>
        </w:tc>
      </w:tr>
      <w:tr w14:paraId="30C10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2E5123B7">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职工人数</w:t>
            </w:r>
          </w:p>
        </w:tc>
        <w:tc>
          <w:tcPr>
            <w:tcW w:w="1800" w:type="dxa"/>
            <w:noWrap w:val="0"/>
            <w:vAlign w:val="center"/>
          </w:tcPr>
          <w:p w14:paraId="3F0C0196">
            <w:pPr>
              <w:jc w:val="left"/>
              <w:rPr>
                <w:rFonts w:hint="eastAsia" w:ascii="宋体" w:hAnsi="宋体" w:cs="宋体"/>
                <w:color w:val="auto"/>
                <w:szCs w:val="21"/>
                <w:highlight w:val="none"/>
              </w:rPr>
            </w:pPr>
          </w:p>
        </w:tc>
        <w:tc>
          <w:tcPr>
            <w:tcW w:w="3600" w:type="dxa"/>
            <w:gridSpan w:val="2"/>
            <w:noWrap w:val="0"/>
            <w:vAlign w:val="center"/>
          </w:tcPr>
          <w:p w14:paraId="3865E598">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其中：有中高级以上职称的人数</w:t>
            </w:r>
          </w:p>
        </w:tc>
        <w:tc>
          <w:tcPr>
            <w:tcW w:w="1120" w:type="dxa"/>
            <w:noWrap w:val="0"/>
            <w:vAlign w:val="center"/>
          </w:tcPr>
          <w:p w14:paraId="37A26F04">
            <w:pPr>
              <w:jc w:val="left"/>
              <w:rPr>
                <w:rFonts w:hint="eastAsia" w:ascii="宋体" w:hAnsi="宋体" w:cs="宋体"/>
                <w:color w:val="auto"/>
                <w:szCs w:val="21"/>
                <w:highlight w:val="none"/>
              </w:rPr>
            </w:pPr>
          </w:p>
        </w:tc>
      </w:tr>
      <w:tr w14:paraId="305C2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09C9BE35">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资产总计</w:t>
            </w:r>
          </w:p>
        </w:tc>
        <w:tc>
          <w:tcPr>
            <w:tcW w:w="1800" w:type="dxa"/>
            <w:noWrap w:val="0"/>
            <w:vAlign w:val="center"/>
          </w:tcPr>
          <w:p w14:paraId="13EA797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2160" w:type="dxa"/>
            <w:noWrap w:val="0"/>
            <w:vAlign w:val="center"/>
          </w:tcPr>
          <w:p w14:paraId="6510EB3F">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净资产</w:t>
            </w:r>
          </w:p>
        </w:tc>
        <w:tc>
          <w:tcPr>
            <w:tcW w:w="2560" w:type="dxa"/>
            <w:gridSpan w:val="2"/>
            <w:noWrap w:val="0"/>
            <w:vAlign w:val="center"/>
          </w:tcPr>
          <w:p w14:paraId="25285FC7">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万元</w:t>
            </w:r>
          </w:p>
        </w:tc>
      </w:tr>
      <w:tr w14:paraId="66E22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79884D40">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股东权益</w:t>
            </w:r>
          </w:p>
        </w:tc>
        <w:tc>
          <w:tcPr>
            <w:tcW w:w="1800" w:type="dxa"/>
            <w:noWrap w:val="0"/>
            <w:vAlign w:val="center"/>
          </w:tcPr>
          <w:p w14:paraId="17899EA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万元</w:t>
            </w:r>
          </w:p>
        </w:tc>
        <w:tc>
          <w:tcPr>
            <w:tcW w:w="2160" w:type="dxa"/>
            <w:noWrap w:val="0"/>
            <w:vAlign w:val="center"/>
          </w:tcPr>
          <w:p w14:paraId="3D85B2B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销售收入</w:t>
            </w:r>
          </w:p>
        </w:tc>
        <w:tc>
          <w:tcPr>
            <w:tcW w:w="2560" w:type="dxa"/>
            <w:gridSpan w:val="2"/>
            <w:noWrap w:val="0"/>
            <w:vAlign w:val="center"/>
          </w:tcPr>
          <w:p w14:paraId="5CD84455">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       万元</w:t>
            </w:r>
          </w:p>
        </w:tc>
      </w:tr>
      <w:tr w14:paraId="32819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50AE56E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实现利润</w:t>
            </w:r>
          </w:p>
        </w:tc>
        <w:tc>
          <w:tcPr>
            <w:tcW w:w="6520" w:type="dxa"/>
            <w:gridSpan w:val="4"/>
            <w:noWrap w:val="0"/>
            <w:vAlign w:val="center"/>
          </w:tcPr>
          <w:p w14:paraId="37135408">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年    万元</w:t>
            </w:r>
          </w:p>
        </w:tc>
      </w:tr>
      <w:tr w14:paraId="0E14C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781012E1">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经营面积</w:t>
            </w:r>
          </w:p>
        </w:tc>
        <w:tc>
          <w:tcPr>
            <w:tcW w:w="1800" w:type="dxa"/>
            <w:noWrap w:val="0"/>
            <w:vAlign w:val="center"/>
          </w:tcPr>
          <w:p w14:paraId="686BB174">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平方米</w:t>
            </w:r>
          </w:p>
        </w:tc>
        <w:tc>
          <w:tcPr>
            <w:tcW w:w="2160" w:type="dxa"/>
            <w:noWrap w:val="0"/>
            <w:vAlign w:val="center"/>
          </w:tcPr>
          <w:p w14:paraId="43EF8337">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其中：</w:t>
            </w:r>
          </w:p>
        </w:tc>
        <w:tc>
          <w:tcPr>
            <w:tcW w:w="2560" w:type="dxa"/>
            <w:gridSpan w:val="2"/>
            <w:noWrap w:val="0"/>
            <w:vAlign w:val="center"/>
          </w:tcPr>
          <w:p w14:paraId="50B41015">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自有面积     平方米</w:t>
            </w:r>
          </w:p>
          <w:p w14:paraId="6F263FA0">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承租面积     平方米</w:t>
            </w:r>
          </w:p>
        </w:tc>
      </w:tr>
      <w:tr w14:paraId="38F5F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0F26F245">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单位简历及内设机构情况</w:t>
            </w:r>
          </w:p>
        </w:tc>
        <w:tc>
          <w:tcPr>
            <w:tcW w:w="6520" w:type="dxa"/>
            <w:gridSpan w:val="4"/>
            <w:noWrap w:val="0"/>
            <w:vAlign w:val="center"/>
          </w:tcPr>
          <w:p w14:paraId="5AFBF053">
            <w:pPr>
              <w:jc w:val="left"/>
              <w:rPr>
                <w:rFonts w:hint="eastAsia" w:ascii="宋体" w:hAnsi="宋体" w:cs="宋体"/>
                <w:color w:val="auto"/>
                <w:szCs w:val="21"/>
                <w:highlight w:val="none"/>
              </w:rPr>
            </w:pPr>
          </w:p>
        </w:tc>
      </w:tr>
      <w:tr w14:paraId="7FC3C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52024082">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单位优势及特长</w:t>
            </w:r>
          </w:p>
        </w:tc>
        <w:tc>
          <w:tcPr>
            <w:tcW w:w="6520" w:type="dxa"/>
            <w:gridSpan w:val="4"/>
            <w:noWrap w:val="0"/>
            <w:vAlign w:val="center"/>
          </w:tcPr>
          <w:p w14:paraId="28219728">
            <w:pPr>
              <w:jc w:val="left"/>
              <w:rPr>
                <w:rFonts w:hint="eastAsia" w:ascii="宋体" w:hAnsi="宋体" w:cs="宋体"/>
                <w:color w:val="auto"/>
                <w:szCs w:val="21"/>
                <w:highlight w:val="none"/>
              </w:rPr>
            </w:pPr>
          </w:p>
        </w:tc>
      </w:tr>
      <w:tr w14:paraId="36A7A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071D68BB">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近三年来完成或正在履行的重大合同情况</w:t>
            </w:r>
          </w:p>
        </w:tc>
        <w:tc>
          <w:tcPr>
            <w:tcW w:w="6520" w:type="dxa"/>
            <w:gridSpan w:val="4"/>
            <w:noWrap w:val="0"/>
            <w:vAlign w:val="center"/>
          </w:tcPr>
          <w:p w14:paraId="3F4ECB23">
            <w:pPr>
              <w:jc w:val="left"/>
              <w:rPr>
                <w:rFonts w:hint="eastAsia" w:ascii="宋体" w:hAnsi="宋体" w:cs="宋体"/>
                <w:color w:val="auto"/>
                <w:szCs w:val="21"/>
                <w:highlight w:val="none"/>
              </w:rPr>
            </w:pPr>
          </w:p>
        </w:tc>
      </w:tr>
      <w:tr w14:paraId="2F4EA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500EB1A2">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最近2年内在经营过程中受到何种奖励或处分</w:t>
            </w:r>
          </w:p>
        </w:tc>
        <w:tc>
          <w:tcPr>
            <w:tcW w:w="6520" w:type="dxa"/>
            <w:gridSpan w:val="4"/>
            <w:noWrap w:val="0"/>
            <w:vAlign w:val="center"/>
          </w:tcPr>
          <w:p w14:paraId="3F89B886">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（包括财政、工商、税务、物价、技监部门稽查情况和结果）</w:t>
            </w:r>
          </w:p>
        </w:tc>
      </w:tr>
      <w:tr w14:paraId="76A7E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2EA55130">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最近3年内有无因售假、售劣或是其他原因被消费者投诉或起诉的情况及说明</w:t>
            </w:r>
          </w:p>
        </w:tc>
        <w:tc>
          <w:tcPr>
            <w:tcW w:w="6520" w:type="dxa"/>
            <w:gridSpan w:val="4"/>
            <w:noWrap w:val="0"/>
            <w:vAlign w:val="center"/>
          </w:tcPr>
          <w:p w14:paraId="7AE3C9B7">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（包括解决方式和结果）</w:t>
            </w:r>
          </w:p>
        </w:tc>
      </w:tr>
      <w:tr w14:paraId="6AA91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4F8F79C4">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最近3年内主要负责人有无经济犯罪被司法机关追究的情意及说明</w:t>
            </w:r>
          </w:p>
        </w:tc>
        <w:tc>
          <w:tcPr>
            <w:tcW w:w="6520" w:type="dxa"/>
            <w:gridSpan w:val="4"/>
            <w:noWrap w:val="0"/>
            <w:vAlign w:val="center"/>
          </w:tcPr>
          <w:p w14:paraId="021E997A">
            <w:pPr>
              <w:jc w:val="left"/>
              <w:rPr>
                <w:rFonts w:hint="eastAsia" w:ascii="宋体" w:hAnsi="宋体" w:cs="宋体"/>
                <w:color w:val="auto"/>
                <w:szCs w:val="21"/>
                <w:highlight w:val="none"/>
              </w:rPr>
            </w:pPr>
          </w:p>
        </w:tc>
      </w:tr>
      <w:tr w14:paraId="3A7B8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0D8A77A1">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获得技术认证的工程师及简介</w:t>
            </w:r>
          </w:p>
        </w:tc>
        <w:tc>
          <w:tcPr>
            <w:tcW w:w="6520" w:type="dxa"/>
            <w:gridSpan w:val="4"/>
            <w:noWrap w:val="0"/>
            <w:vAlign w:val="center"/>
          </w:tcPr>
          <w:p w14:paraId="04DFE4F7">
            <w:pPr>
              <w:jc w:val="left"/>
              <w:rPr>
                <w:rFonts w:hint="eastAsia" w:ascii="宋体" w:hAnsi="宋体" w:cs="宋体"/>
                <w:color w:val="auto"/>
                <w:szCs w:val="21"/>
                <w:highlight w:val="none"/>
              </w:rPr>
            </w:pPr>
          </w:p>
        </w:tc>
      </w:tr>
      <w:tr w14:paraId="6DF8D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953" w:type="dxa"/>
            <w:noWrap w:val="0"/>
            <w:vAlign w:val="center"/>
          </w:tcPr>
          <w:p w14:paraId="3B241CE9">
            <w:pPr>
              <w:jc w:val="left"/>
              <w:outlineLvl w:val="1"/>
              <w:rPr>
                <w:rFonts w:hint="eastAsia" w:ascii="宋体" w:hAnsi="宋体" w:cs="宋体"/>
                <w:color w:val="auto"/>
                <w:szCs w:val="21"/>
                <w:highlight w:val="none"/>
              </w:rPr>
            </w:pPr>
            <w:r>
              <w:rPr>
                <w:rFonts w:hint="eastAsia" w:ascii="宋体" w:hAnsi="宋体" w:cs="宋体"/>
                <w:color w:val="auto"/>
                <w:szCs w:val="21"/>
                <w:highlight w:val="none"/>
              </w:rPr>
              <w:t>其他需要说明的情况</w:t>
            </w:r>
          </w:p>
        </w:tc>
        <w:tc>
          <w:tcPr>
            <w:tcW w:w="6520" w:type="dxa"/>
            <w:gridSpan w:val="4"/>
            <w:noWrap w:val="0"/>
            <w:vAlign w:val="center"/>
          </w:tcPr>
          <w:p w14:paraId="7792898B">
            <w:pPr>
              <w:jc w:val="left"/>
              <w:rPr>
                <w:rFonts w:hint="eastAsia" w:ascii="宋体" w:hAnsi="宋体" w:cs="宋体"/>
                <w:color w:val="auto"/>
                <w:szCs w:val="21"/>
                <w:highlight w:val="none"/>
              </w:rPr>
            </w:pPr>
          </w:p>
        </w:tc>
      </w:tr>
    </w:tbl>
    <w:p w14:paraId="30C47CA2">
      <w:pPr>
        <w:spacing w:line="360" w:lineRule="auto"/>
        <w:jc w:val="left"/>
        <w:rPr>
          <w:rFonts w:hint="eastAsia" w:ascii="宋体" w:hAnsi="宋体" w:cs="宋体"/>
          <w:color w:val="auto"/>
          <w:szCs w:val="21"/>
          <w:highlight w:val="none"/>
        </w:rPr>
      </w:pPr>
    </w:p>
    <w:p w14:paraId="17015A17">
      <w:pPr>
        <w:spacing w:line="360" w:lineRule="auto"/>
        <w:jc w:val="left"/>
        <w:rPr>
          <w:rFonts w:hint="eastAsia" w:ascii="宋体" w:hAnsi="宋体" w:cs="宋体"/>
          <w:color w:val="auto"/>
          <w:szCs w:val="21"/>
          <w:highlight w:val="none"/>
        </w:rPr>
      </w:pPr>
    </w:p>
    <w:p w14:paraId="5ABCE4EE">
      <w:pPr>
        <w:pageBreakBefore/>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0</w:t>
      </w:r>
      <w:r>
        <w:rPr>
          <w:rFonts w:hint="eastAsia" w:ascii="宋体" w:hAnsi="宋体" w:cs="宋体"/>
          <w:b/>
          <w:color w:val="auto"/>
          <w:sz w:val="24"/>
          <w:szCs w:val="24"/>
          <w:highlight w:val="none"/>
        </w:rPr>
        <w:t>、中小企业声明函</w:t>
      </w:r>
    </w:p>
    <w:p w14:paraId="0442125A">
      <w:pPr>
        <w:spacing w:line="360" w:lineRule="auto"/>
        <w:rPr>
          <w:rFonts w:hint="eastAsia" w:ascii="宋体" w:hAnsi="宋体" w:cs="宋体"/>
          <w:b/>
          <w:color w:val="auto"/>
          <w:sz w:val="24"/>
          <w:szCs w:val="24"/>
          <w:highlight w:val="none"/>
        </w:rPr>
      </w:pPr>
    </w:p>
    <w:p w14:paraId="177D6F82">
      <w:pPr>
        <w:tabs>
          <w:tab w:val="left" w:pos="8930"/>
          <w:tab w:val="left" w:pos="9306"/>
        </w:tabs>
        <w:spacing w:line="360" w:lineRule="auto"/>
        <w:jc w:val="center"/>
        <w:rPr>
          <w:rFonts w:hint="eastAsia" w:ascii="宋体" w:hAnsi="宋体" w:cs="宋体"/>
          <w:b/>
          <w:color w:val="auto"/>
          <w:sz w:val="24"/>
          <w:szCs w:val="24"/>
          <w:highlight w:val="none"/>
        </w:rPr>
      </w:pPr>
      <w:r>
        <w:rPr>
          <w:rFonts w:ascii="宋体" w:hAnsi="宋体" w:cs="宋体"/>
          <w:b/>
          <w:color w:val="auto"/>
          <w:sz w:val="24"/>
          <w:szCs w:val="24"/>
          <w:highlight w:val="none"/>
        </w:rPr>
        <w:t>中小企业声明函（工程</w:t>
      </w:r>
      <w:r>
        <w:rPr>
          <w:rFonts w:hint="eastAsia" w:ascii="宋体" w:hAnsi="宋体" w:cs="宋体"/>
          <w:b/>
          <w:color w:val="auto"/>
          <w:sz w:val="24"/>
          <w:szCs w:val="24"/>
          <w:highlight w:val="none"/>
        </w:rPr>
        <w:t>、服务</w:t>
      </w:r>
      <w:r>
        <w:rPr>
          <w:rFonts w:ascii="宋体" w:hAnsi="宋体" w:cs="宋体"/>
          <w:b/>
          <w:color w:val="auto"/>
          <w:sz w:val="24"/>
          <w:szCs w:val="24"/>
          <w:highlight w:val="none"/>
        </w:rPr>
        <w:t>）</w:t>
      </w:r>
    </w:p>
    <w:p w14:paraId="4CA18243">
      <w:pPr>
        <w:tabs>
          <w:tab w:val="left" w:pos="8930"/>
          <w:tab w:val="left" w:pos="9306"/>
        </w:tabs>
        <w:spacing w:line="360" w:lineRule="auto"/>
        <w:ind w:firstLine="420"/>
        <w:jc w:val="left"/>
        <w:rPr>
          <w:rFonts w:hint="eastAsia" w:ascii="宋体" w:hAnsi="宋体" w:cs="宋体"/>
          <w:color w:val="auto"/>
          <w:sz w:val="24"/>
          <w:szCs w:val="24"/>
          <w:highlight w:val="none"/>
        </w:rPr>
      </w:pPr>
      <w:r>
        <w:rPr>
          <w:rFonts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（单位名称）的</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14:paraId="1D656DC4">
      <w:pPr>
        <w:numPr>
          <w:ilvl w:val="0"/>
          <w:numId w:val="1"/>
        </w:num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餐饮业</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（采购文件中明确的所属行业）；承建（承接）企业为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（企业名称）</w:t>
      </w:r>
      <w:r>
        <w:rPr>
          <w:rFonts w:hint="eastAsia" w:ascii="宋体" w:hAnsi="宋体" w:cs="宋体"/>
          <w:color w:val="auto"/>
          <w:sz w:val="24"/>
          <w:szCs w:val="24"/>
          <w:highlight w:val="none"/>
        </w:rPr>
        <w:t>，</w:t>
      </w:r>
      <w:r>
        <w:rPr>
          <w:rFonts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万元</w:t>
      </w:r>
      <w:r>
        <w:rPr>
          <w:rFonts w:hint="eastAsia" w:ascii="宋体" w:hAnsi="宋体" w:cs="宋体"/>
          <w:color w:val="auto"/>
          <w:sz w:val="24"/>
          <w:szCs w:val="24"/>
          <w:highlight w:val="none"/>
        </w:rPr>
        <w:t>，</w:t>
      </w:r>
      <w:r>
        <w:rPr>
          <w:rFonts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（中型企业、小型企业、微型企业）； </w:t>
      </w:r>
    </w:p>
    <w:p w14:paraId="26E7CED5">
      <w:pPr>
        <w:numPr>
          <w:ilvl w:val="0"/>
          <w:numId w:val="1"/>
        </w:num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 （标的名称）</w:t>
      </w:r>
      <w:r>
        <w:rPr>
          <w:rFonts w:hint="eastAsia" w:ascii="宋体" w:hAnsi="宋体" w:cs="宋体"/>
          <w:color w:val="auto"/>
          <w:sz w:val="24"/>
          <w:szCs w:val="24"/>
          <w:highlight w:val="none"/>
        </w:rPr>
        <w:t>，</w:t>
      </w:r>
      <w:r>
        <w:rPr>
          <w:rFonts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餐饮业</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（采购文件中明确的所属行业）；承建（承接）企业为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（企业名称）</w:t>
      </w:r>
      <w:r>
        <w:rPr>
          <w:rFonts w:hint="eastAsia" w:ascii="宋体" w:hAnsi="宋体" w:cs="宋体"/>
          <w:color w:val="auto"/>
          <w:sz w:val="24"/>
          <w:szCs w:val="24"/>
          <w:highlight w:val="none"/>
        </w:rPr>
        <w:t>，</w:t>
      </w:r>
      <w:r>
        <w:rPr>
          <w:rFonts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人</w:t>
      </w:r>
      <w:r>
        <w:rPr>
          <w:rFonts w:hint="eastAsia" w:ascii="宋体" w:hAnsi="宋体" w:cs="宋体"/>
          <w:color w:val="auto"/>
          <w:sz w:val="24"/>
          <w:szCs w:val="24"/>
          <w:highlight w:val="none"/>
        </w:rPr>
        <w:t>，</w:t>
      </w:r>
      <w:r>
        <w:rPr>
          <w:rFonts w:ascii="宋体" w:hAnsi="宋体" w:cs="宋体"/>
          <w:color w:val="auto"/>
          <w:sz w:val="24"/>
          <w:szCs w:val="24"/>
          <w:highlight w:val="none"/>
        </w:rPr>
        <w:t>营业收入为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万元</w:t>
      </w:r>
      <w:r>
        <w:rPr>
          <w:rFonts w:hint="eastAsia" w:ascii="宋体" w:hAnsi="宋体" w:cs="宋体"/>
          <w:color w:val="auto"/>
          <w:sz w:val="24"/>
          <w:szCs w:val="24"/>
          <w:highlight w:val="none"/>
        </w:rPr>
        <w:t>，</w:t>
      </w:r>
      <w:r>
        <w:rPr>
          <w:rFonts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（中型企业、 小型企业、微型企业）；</w:t>
      </w:r>
    </w:p>
    <w:p w14:paraId="716F8883">
      <w:pPr>
        <w:tabs>
          <w:tab w:val="left" w:pos="8930"/>
          <w:tab w:val="left" w:pos="9306"/>
        </w:tabs>
        <w:spacing w:line="360" w:lineRule="auto"/>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 …… </w:t>
      </w:r>
    </w:p>
    <w:p w14:paraId="05E00CF8">
      <w:pPr>
        <w:tabs>
          <w:tab w:val="left" w:pos="8930"/>
          <w:tab w:val="left" w:pos="9306"/>
        </w:tabs>
        <w:spacing w:line="360" w:lineRule="auto"/>
        <w:ind w:firstLine="420"/>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 </w:t>
      </w:r>
    </w:p>
    <w:p w14:paraId="4A5FFC51">
      <w:pPr>
        <w:tabs>
          <w:tab w:val="left" w:pos="8930"/>
          <w:tab w:val="left" w:pos="9306"/>
        </w:tabs>
        <w:spacing w:line="360" w:lineRule="auto"/>
        <w:ind w:firstLine="420"/>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p>
    <w:p w14:paraId="07D1655C">
      <w:pPr>
        <w:tabs>
          <w:tab w:val="left" w:pos="8930"/>
          <w:tab w:val="left" w:pos="9306"/>
        </w:tabs>
        <w:spacing w:line="360" w:lineRule="auto"/>
        <w:ind w:firstLine="420"/>
        <w:jc w:val="left"/>
        <w:rPr>
          <w:rFonts w:hint="eastAsia" w:ascii="宋体" w:hAnsi="宋体" w:cs="宋体"/>
          <w:color w:val="auto"/>
          <w:sz w:val="24"/>
          <w:szCs w:val="24"/>
          <w:highlight w:val="none"/>
        </w:rPr>
      </w:pPr>
    </w:p>
    <w:p w14:paraId="1D2ECED6">
      <w:pPr>
        <w:tabs>
          <w:tab w:val="left" w:pos="8930"/>
          <w:tab w:val="left" w:pos="9306"/>
        </w:tabs>
        <w:spacing w:line="360" w:lineRule="auto"/>
        <w:ind w:firstLine="420"/>
        <w:jc w:val="left"/>
        <w:rPr>
          <w:rFonts w:hint="eastAsia" w:ascii="宋体" w:hAnsi="宋体" w:cs="宋体"/>
          <w:color w:val="auto"/>
          <w:sz w:val="24"/>
          <w:szCs w:val="24"/>
          <w:highlight w:val="none"/>
        </w:rPr>
      </w:pPr>
    </w:p>
    <w:p w14:paraId="32BA36CB">
      <w:pPr>
        <w:tabs>
          <w:tab w:val="left" w:pos="8930"/>
          <w:tab w:val="left" w:pos="9306"/>
        </w:tabs>
        <w:spacing w:line="360" w:lineRule="auto"/>
        <w:ind w:firstLine="5670"/>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企业名称（盖章）： </w:t>
      </w:r>
    </w:p>
    <w:p w14:paraId="16B0E2DC">
      <w:pPr>
        <w:tabs>
          <w:tab w:val="left" w:pos="8930"/>
          <w:tab w:val="left" w:pos="9306"/>
        </w:tabs>
        <w:spacing w:line="360" w:lineRule="auto"/>
        <w:ind w:firstLine="5670"/>
        <w:jc w:val="left"/>
        <w:rPr>
          <w:rFonts w:hint="eastAsia" w:ascii="宋体" w:hAnsi="宋体" w:cs="宋体"/>
          <w:color w:val="auto"/>
          <w:sz w:val="24"/>
          <w:szCs w:val="24"/>
          <w:highlight w:val="none"/>
        </w:rPr>
      </w:pPr>
      <w:r>
        <w:rPr>
          <w:rFonts w:ascii="宋体" w:hAnsi="宋体" w:cs="宋体"/>
          <w:color w:val="auto"/>
          <w:sz w:val="24"/>
          <w:szCs w:val="24"/>
          <w:highlight w:val="none"/>
        </w:rPr>
        <w:t xml:space="preserve">日 期： </w:t>
      </w:r>
    </w:p>
    <w:p w14:paraId="010D531C">
      <w:pPr>
        <w:outlineLvl w:val="0"/>
        <w:rPr>
          <w:rFonts w:hint="default" w:ascii="宋体" w:hAnsi="宋体"/>
          <w:color w:val="auto"/>
          <w:kern w:val="2"/>
          <w:szCs w:val="24"/>
          <w:highlight w:val="none"/>
        </w:rPr>
      </w:pPr>
      <w:r>
        <w:rPr>
          <w:rFonts w:hint="eastAsia" w:ascii="宋体" w:hAnsi="宋体"/>
          <w:b/>
          <w:color w:val="auto"/>
          <w:kern w:val="2"/>
          <w:szCs w:val="24"/>
          <w:highlight w:val="none"/>
        </w:rPr>
        <w:t>备注：</w:t>
      </w:r>
      <w:r>
        <w:rPr>
          <w:rFonts w:hint="eastAsia" w:ascii="宋体" w:hAnsi="宋体"/>
          <w:color w:val="auto"/>
          <w:kern w:val="2"/>
          <w:szCs w:val="24"/>
          <w:highlight w:val="none"/>
        </w:rPr>
        <w:t>1</w:t>
      </w:r>
      <w:r>
        <w:rPr>
          <w:rFonts w:hint="default" w:ascii="宋体" w:hAnsi="宋体"/>
          <w:color w:val="auto"/>
          <w:kern w:val="2"/>
          <w:szCs w:val="24"/>
          <w:highlight w:val="none"/>
        </w:rPr>
        <w:t>.</w:t>
      </w:r>
      <w:r>
        <w:rPr>
          <w:rFonts w:hint="eastAsia" w:ascii="宋体" w:hAnsi="宋体"/>
          <w:color w:val="auto"/>
          <w:kern w:val="2"/>
          <w:szCs w:val="24"/>
          <w:highlight w:val="none"/>
        </w:rPr>
        <w:t>从业人员、营业收入、资产总额填报上一年度数据，无上一年度数据的新成立企业可不填报。</w:t>
      </w:r>
    </w:p>
    <w:p w14:paraId="0556A76E">
      <w:pPr>
        <w:ind w:firstLine="630" w:firstLineChars="300"/>
        <w:outlineLvl w:val="0"/>
        <w:rPr>
          <w:rFonts w:hint="default" w:ascii="宋体" w:hAnsi="宋体"/>
          <w:b/>
          <w:bCs/>
          <w:color w:val="auto"/>
          <w:kern w:val="2"/>
          <w:szCs w:val="24"/>
          <w:highlight w:val="none"/>
        </w:rPr>
      </w:pPr>
      <w:r>
        <w:rPr>
          <w:rFonts w:hint="eastAsia" w:ascii="宋体" w:hAnsi="宋体"/>
          <w:color w:val="auto"/>
          <w:kern w:val="2"/>
          <w:szCs w:val="24"/>
          <w:highlight w:val="none"/>
        </w:rPr>
        <w:t>2.在服务采购项目中，服务由中小企业承接，即提供服务的人员为中小企业依照《中华人民共和国劳动合同法》订立劳动合同的从业人员。</w:t>
      </w:r>
      <w:r>
        <w:rPr>
          <w:rFonts w:hint="eastAsia" w:ascii="宋体" w:hAnsi="宋体"/>
          <w:b/>
          <w:bCs/>
          <w:color w:val="auto"/>
          <w:kern w:val="2"/>
          <w:szCs w:val="24"/>
          <w:highlight w:val="none"/>
        </w:rPr>
        <w:t>服务类项目中供应商若使用退休人员，将不享受相应扶持政策。</w:t>
      </w:r>
    </w:p>
    <w:p w14:paraId="42ABC366">
      <w:pPr>
        <w:ind w:firstLine="630" w:firstLineChars="300"/>
        <w:outlineLvl w:val="0"/>
        <w:rPr>
          <w:rFonts w:hint="default" w:ascii="宋体" w:hAnsi="宋体"/>
          <w:color w:val="auto"/>
          <w:kern w:val="2"/>
          <w:szCs w:val="24"/>
          <w:highlight w:val="none"/>
        </w:rPr>
      </w:pPr>
      <w:r>
        <w:rPr>
          <w:rFonts w:hint="eastAsia" w:ascii="宋体" w:hAnsi="宋体"/>
          <w:color w:val="auto"/>
          <w:kern w:val="2"/>
          <w:szCs w:val="24"/>
          <w:highlight w:val="none"/>
        </w:rPr>
        <w:t>3</w:t>
      </w:r>
      <w:r>
        <w:rPr>
          <w:rFonts w:hint="default" w:ascii="宋体" w:hAnsi="宋体"/>
          <w:color w:val="auto"/>
          <w:kern w:val="2"/>
          <w:szCs w:val="24"/>
          <w:highlight w:val="none"/>
        </w:rPr>
        <w:t>.</w:t>
      </w:r>
      <w:r>
        <w:rPr>
          <w:rFonts w:hint="eastAsia" w:ascii="宋体" w:hAnsi="宋体"/>
          <w:color w:val="auto"/>
          <w:kern w:val="2"/>
          <w:szCs w:val="24"/>
          <w:highlight w:val="none"/>
        </w:rPr>
        <w:t>《中小企业声明函》中所填的行业应与本采购标的对应的中小企业划分标准所属行业一致，不一致的不可享受相应政策优惠。</w:t>
      </w:r>
      <w:r>
        <w:rPr>
          <w:rFonts w:hint="eastAsia" w:ascii="宋体" w:hAnsi="宋体"/>
          <w:b/>
          <w:color w:val="auto"/>
          <w:kern w:val="2"/>
          <w:szCs w:val="24"/>
          <w:highlight w:val="none"/>
        </w:rPr>
        <w:t>本采购标的对应的中小企业划分标准所属行业，以采购文件中具体规定为准。</w:t>
      </w:r>
    </w:p>
    <w:p w14:paraId="37D19D47">
      <w:pPr>
        <w:ind w:firstLine="630" w:firstLineChars="300"/>
        <w:outlineLvl w:val="0"/>
        <w:rPr>
          <w:rFonts w:hint="default" w:ascii="宋体" w:hAnsi="宋体"/>
          <w:color w:val="auto"/>
          <w:kern w:val="2"/>
          <w:szCs w:val="24"/>
          <w:highlight w:val="none"/>
        </w:rPr>
      </w:pPr>
      <w:r>
        <w:rPr>
          <w:rFonts w:hint="default" w:ascii="宋体" w:hAnsi="宋体"/>
          <w:color w:val="auto"/>
          <w:kern w:val="2"/>
          <w:szCs w:val="24"/>
          <w:highlight w:val="none"/>
        </w:rPr>
        <w:t>4.</w:t>
      </w:r>
      <w:r>
        <w:rPr>
          <w:rFonts w:hint="eastAsia" w:ascii="宋体" w:hAnsi="宋体"/>
          <w:b/>
          <w:color w:val="auto"/>
          <w:kern w:val="2"/>
          <w:szCs w:val="24"/>
          <w:highlight w:val="none"/>
        </w:rPr>
        <w:t>如未对（中型企业、小型企业、微型企业）进行勾选，视同非中小微企业，不可享受相应扶持政策</w:t>
      </w:r>
      <w:r>
        <w:rPr>
          <w:rFonts w:hint="eastAsia" w:ascii="宋体" w:hAnsi="宋体"/>
          <w:color w:val="auto"/>
          <w:kern w:val="2"/>
          <w:szCs w:val="24"/>
          <w:highlight w:val="none"/>
        </w:rPr>
        <w:t>。</w:t>
      </w:r>
    </w:p>
    <w:p w14:paraId="203C8E8D">
      <w:pPr>
        <w:ind w:firstLine="630" w:firstLineChars="300"/>
        <w:outlineLvl w:val="0"/>
        <w:rPr>
          <w:rFonts w:hint="default" w:ascii="宋体" w:hAnsi="宋体"/>
          <w:color w:val="auto"/>
          <w:kern w:val="2"/>
          <w:szCs w:val="24"/>
          <w:highlight w:val="none"/>
        </w:rPr>
      </w:pPr>
      <w:r>
        <w:rPr>
          <w:rFonts w:hint="eastAsia" w:ascii="宋体" w:hAnsi="宋体"/>
          <w:color w:val="auto"/>
          <w:kern w:val="2"/>
          <w:szCs w:val="24"/>
          <w:highlight w:val="none"/>
        </w:rPr>
        <w:t>5</w:t>
      </w:r>
      <w:r>
        <w:rPr>
          <w:rFonts w:hint="default" w:ascii="宋体" w:hAnsi="宋体"/>
          <w:color w:val="auto"/>
          <w:kern w:val="2"/>
          <w:szCs w:val="24"/>
          <w:highlight w:val="none"/>
        </w:rPr>
        <w:t>.</w:t>
      </w:r>
      <w:r>
        <w:rPr>
          <w:rFonts w:hint="eastAsia" w:ascii="宋体" w:hAnsi="宋体"/>
          <w:color w:val="auto"/>
          <w:kern w:val="2"/>
          <w:szCs w:val="24"/>
          <w:highlight w:val="none"/>
        </w:rPr>
        <w:t>成交单位为中小企业的，《中小企业声明函》将随成交结果同时公告。</w:t>
      </w:r>
    </w:p>
    <w:p w14:paraId="0B4FC23C">
      <w:pPr>
        <w:spacing w:line="360" w:lineRule="auto"/>
        <w:rPr>
          <w:rFonts w:hint="eastAsia" w:ascii="宋体" w:hAnsi="宋体" w:cs="宋体"/>
          <w:color w:val="auto"/>
          <w:szCs w:val="21"/>
          <w:highlight w:val="none"/>
        </w:rPr>
      </w:pPr>
    </w:p>
    <w:p w14:paraId="294A101B">
      <w:pPr>
        <w:pStyle w:val="248"/>
        <w:ind w:left="0"/>
        <w:rPr>
          <w:rFonts w:hint="eastAsia" w:ascii="宋体" w:hAnsi="宋体" w:cs="宋体"/>
          <w:color w:val="auto"/>
          <w:szCs w:val="21"/>
          <w:highlight w:val="none"/>
        </w:rPr>
      </w:pPr>
    </w:p>
    <w:p w14:paraId="5F79BA15">
      <w:pPr>
        <w:pStyle w:val="248"/>
        <w:ind w:left="0"/>
        <w:rPr>
          <w:rFonts w:hint="eastAsia" w:ascii="宋体" w:hAnsi="宋体" w:cs="宋体"/>
          <w:color w:val="auto"/>
          <w:szCs w:val="21"/>
          <w:highlight w:val="none"/>
        </w:rPr>
      </w:pPr>
    </w:p>
    <w:p w14:paraId="4B83FB44">
      <w:pPr>
        <w:spacing w:line="240" w:lineRule="atLeast"/>
        <w:jc w:val="lef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附：中小企业划型标准规定</w:t>
      </w:r>
    </w:p>
    <w:p w14:paraId="6584D1FF">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（一）农、林、牧、渔业。</w:t>
      </w:r>
      <w:r>
        <w:rPr>
          <w:rFonts w:hint="eastAsia" w:ascii="宋体" w:hAnsi="宋体" w:cs="宋体"/>
          <w:color w:val="auto"/>
          <w:szCs w:val="21"/>
          <w:highlight w:val="none"/>
        </w:rPr>
        <w:t>营业收入20000万元以下的为中小微型企业。其中，营业收入500万元及以上的为中型企业，营业收入50万元及以上的为小型企业，营业收入50万元以下的为微型企业。</w:t>
      </w:r>
    </w:p>
    <w:p w14:paraId="7F66A6B3">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（二）工业。</w:t>
      </w:r>
      <w:r>
        <w:rPr>
          <w:rFonts w:hint="eastAsia" w:ascii="宋体" w:hAnsi="宋体" w:cs="宋体"/>
          <w:color w:val="auto"/>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1FC1742">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（三）建筑业。</w:t>
      </w:r>
      <w:r>
        <w:rPr>
          <w:rFonts w:hint="eastAsia" w:ascii="宋体" w:hAnsi="宋体" w:cs="宋体"/>
          <w:color w:val="auto"/>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C939A3">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（四）批发业。</w:t>
      </w:r>
      <w:r>
        <w:rPr>
          <w:rFonts w:hint="eastAsia" w:ascii="宋体" w:hAnsi="宋体" w:cs="宋体"/>
          <w:color w:val="auto"/>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8F0EB48">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（五）零售业。</w:t>
      </w:r>
      <w:r>
        <w:rPr>
          <w:rFonts w:hint="eastAsia" w:ascii="宋体" w:hAnsi="宋体" w:cs="宋体"/>
          <w:color w:val="auto"/>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9333D27">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（六）交通运输业。</w:t>
      </w:r>
      <w:r>
        <w:rPr>
          <w:rFonts w:hint="eastAsia" w:ascii="宋体" w:hAnsi="宋体" w:cs="宋体"/>
          <w:color w:val="auto"/>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22821A7">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（七）仓储业。</w:t>
      </w:r>
      <w:r>
        <w:rPr>
          <w:rFonts w:hint="eastAsia" w:ascii="宋体" w:hAnsi="宋体" w:cs="宋体"/>
          <w:color w:val="auto"/>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192A34C">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（八）邮政业。</w:t>
      </w:r>
      <w:r>
        <w:rPr>
          <w:rFonts w:hint="eastAsia" w:ascii="宋体" w:hAnsi="宋体" w:cs="宋体"/>
          <w:color w:val="auto"/>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14EBA10">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（九）住宿业。</w:t>
      </w:r>
      <w:r>
        <w:rPr>
          <w:rFonts w:hint="eastAsia" w:ascii="宋体" w:hAnsi="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966312">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（十）餐饮业。</w:t>
      </w:r>
      <w:r>
        <w:rPr>
          <w:rFonts w:hint="eastAsia" w:ascii="宋体" w:hAnsi="宋体" w:cs="宋体"/>
          <w:color w:val="auto"/>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6295DC8">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（十一）信息传输业。</w:t>
      </w:r>
      <w:r>
        <w:rPr>
          <w:rFonts w:hint="eastAsia" w:ascii="宋体" w:hAnsi="宋体" w:cs="宋体"/>
          <w:color w:val="auto"/>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B23A2C0">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（十二）软件和信息技术服务业。</w:t>
      </w:r>
      <w:r>
        <w:rPr>
          <w:rFonts w:hint="eastAsia" w:ascii="宋体" w:hAnsi="宋体" w:cs="宋体"/>
          <w:color w:val="auto"/>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EEED58">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（十三）房地产开发经营。</w:t>
      </w:r>
      <w:r>
        <w:rPr>
          <w:rFonts w:hint="eastAsia" w:ascii="宋体" w:hAnsi="宋体" w:cs="宋体"/>
          <w:color w:val="auto"/>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074A96">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（十四）物业管理。</w:t>
      </w:r>
      <w:r>
        <w:rPr>
          <w:rFonts w:hint="eastAsia" w:ascii="宋体" w:hAnsi="宋体" w:cs="宋体"/>
          <w:color w:val="auto"/>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26EC91">
      <w:pPr>
        <w:spacing w:line="240" w:lineRule="atLeast"/>
        <w:jc w:val="left"/>
        <w:rPr>
          <w:rFonts w:hint="eastAsia" w:ascii="宋体" w:hAnsi="宋体" w:cs="宋体"/>
          <w:color w:val="auto"/>
          <w:szCs w:val="21"/>
          <w:highlight w:val="none"/>
        </w:rPr>
      </w:pPr>
      <w:r>
        <w:rPr>
          <w:rFonts w:hint="eastAsia" w:ascii="宋体" w:hAnsi="宋体" w:cs="宋体"/>
          <w:b/>
          <w:color w:val="auto"/>
          <w:szCs w:val="21"/>
          <w:highlight w:val="none"/>
        </w:rPr>
        <w:t>（十五）租赁和商务服务业。</w:t>
      </w:r>
      <w:r>
        <w:rPr>
          <w:rFonts w:hint="eastAsia" w:ascii="宋体" w:hAnsi="宋体" w:cs="宋体"/>
          <w:color w:val="auto"/>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3386121">
      <w:pPr>
        <w:spacing w:line="240" w:lineRule="atLeast"/>
        <w:jc w:val="left"/>
        <w:rPr>
          <w:rFonts w:hint="eastAsia" w:ascii="宋体" w:hAnsi="宋体" w:cs="宋体"/>
          <w:color w:val="auto"/>
          <w:sz w:val="18"/>
          <w:szCs w:val="18"/>
          <w:highlight w:val="none"/>
        </w:rPr>
      </w:pPr>
      <w:r>
        <w:rPr>
          <w:rFonts w:hint="eastAsia" w:ascii="宋体" w:hAnsi="宋体" w:cs="宋体"/>
          <w:b/>
          <w:color w:val="auto"/>
          <w:szCs w:val="21"/>
          <w:highlight w:val="none"/>
        </w:rPr>
        <w:t>（十六）其他未列明行业。</w:t>
      </w:r>
      <w:r>
        <w:rPr>
          <w:rFonts w:hint="eastAsia" w:ascii="宋体" w:hAnsi="宋体" w:cs="宋体"/>
          <w:color w:val="auto"/>
          <w:szCs w:val="21"/>
          <w:highlight w:val="none"/>
        </w:rPr>
        <w:t>从业人员300人以下的为中小微型企业。其中，从业人员100人及以上的为中型企业；从业人员10人及以上的为小型企业；从业人员10人以下的为微型企业。</w:t>
      </w:r>
    </w:p>
    <w:p w14:paraId="31A05A58">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p>
    <w:p w14:paraId="51D4FCEC">
      <w:pPr>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1</w:t>
      </w:r>
      <w:r>
        <w:rPr>
          <w:rFonts w:hint="eastAsia" w:ascii="宋体" w:hAnsi="宋体" w:cs="宋体"/>
          <w:b/>
          <w:bCs/>
          <w:color w:val="auto"/>
          <w:sz w:val="24"/>
          <w:szCs w:val="24"/>
          <w:highlight w:val="none"/>
        </w:rPr>
        <w:t>、残疾人福利性单位声明函</w:t>
      </w:r>
    </w:p>
    <w:p w14:paraId="4C2AB19F">
      <w:pPr>
        <w:spacing w:line="360" w:lineRule="auto"/>
        <w:jc w:val="center"/>
        <w:rPr>
          <w:rFonts w:hint="eastAsia" w:ascii="宋体" w:hAnsi="宋体" w:cs="宋体"/>
          <w:b/>
          <w:bCs/>
          <w:color w:val="auto"/>
          <w:sz w:val="24"/>
          <w:szCs w:val="24"/>
          <w:highlight w:val="none"/>
        </w:rPr>
      </w:pPr>
    </w:p>
    <w:p w14:paraId="4DA4D0C3">
      <w:pPr>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残疾人福利性单位声明函</w:t>
      </w:r>
    </w:p>
    <w:p w14:paraId="6B2DB88F">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民政部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中国残疾人联合会关于促进残疾人就业政府采购政策的通知》（财库〔2017〕141号）的规定，本单位为符合条件的残疾人福利性单位，且本单位参加</w:t>
      </w:r>
    </w:p>
    <w:p w14:paraId="40F7AAA0">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6604A171">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14:paraId="64BD3BCC">
      <w:pPr>
        <w:spacing w:line="360" w:lineRule="auto"/>
        <w:rPr>
          <w:rFonts w:hint="eastAsia" w:ascii="宋体" w:hAnsi="宋体" w:cs="宋体"/>
          <w:color w:val="auto"/>
          <w:sz w:val="24"/>
          <w:szCs w:val="24"/>
          <w:highlight w:val="none"/>
        </w:rPr>
      </w:pPr>
    </w:p>
    <w:p w14:paraId="3CB7737B">
      <w:pPr>
        <w:spacing w:line="360" w:lineRule="auto"/>
        <w:rPr>
          <w:rFonts w:hint="eastAsia" w:ascii="宋体" w:hAnsi="宋体" w:cs="宋体"/>
          <w:color w:val="auto"/>
          <w:sz w:val="24"/>
          <w:szCs w:val="24"/>
          <w:highlight w:val="none"/>
        </w:rPr>
      </w:pPr>
    </w:p>
    <w:p w14:paraId="015F3E0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单位名称（盖章）：</w:t>
      </w:r>
    </w:p>
    <w:p w14:paraId="0A4325E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0CCCA6CD">
      <w:pPr>
        <w:spacing w:line="360" w:lineRule="auto"/>
        <w:rPr>
          <w:rFonts w:hint="eastAsia" w:ascii="宋体" w:hAnsi="宋体" w:cs="宋体"/>
          <w:color w:val="auto"/>
          <w:sz w:val="24"/>
          <w:szCs w:val="24"/>
          <w:highlight w:val="none"/>
        </w:rPr>
      </w:pPr>
    </w:p>
    <w:p w14:paraId="0703E722">
      <w:pPr>
        <w:spacing w:line="360" w:lineRule="auto"/>
        <w:rPr>
          <w:rFonts w:hint="eastAsia" w:ascii="宋体" w:hAnsi="宋体" w:cs="宋体"/>
          <w:color w:val="auto"/>
          <w:sz w:val="24"/>
          <w:szCs w:val="24"/>
          <w:highlight w:val="none"/>
        </w:rPr>
      </w:pPr>
    </w:p>
    <w:p w14:paraId="6554064F">
      <w:pPr>
        <w:spacing w:line="360" w:lineRule="auto"/>
        <w:rPr>
          <w:rFonts w:hint="eastAsia" w:ascii="宋体" w:hAnsi="宋体" w:cs="宋体"/>
          <w:color w:val="auto"/>
          <w:sz w:val="24"/>
          <w:szCs w:val="24"/>
          <w:highlight w:val="none"/>
        </w:rPr>
      </w:pPr>
    </w:p>
    <w:p w14:paraId="00AFC9D4">
      <w:pPr>
        <w:spacing w:line="360" w:lineRule="auto"/>
        <w:rPr>
          <w:rFonts w:hint="eastAsia" w:ascii="宋体" w:hAnsi="宋体" w:cs="宋体"/>
          <w:color w:val="auto"/>
          <w:sz w:val="24"/>
          <w:szCs w:val="24"/>
          <w:highlight w:val="none"/>
        </w:rPr>
      </w:pPr>
    </w:p>
    <w:p w14:paraId="278DCDE4">
      <w:pPr>
        <w:spacing w:line="360" w:lineRule="auto"/>
        <w:rPr>
          <w:rFonts w:hint="eastAsia" w:ascii="宋体" w:hAnsi="宋体" w:cs="宋体"/>
          <w:color w:val="auto"/>
          <w:sz w:val="24"/>
          <w:szCs w:val="24"/>
          <w:highlight w:val="none"/>
        </w:rPr>
      </w:pPr>
    </w:p>
    <w:p w14:paraId="2406A2D7">
      <w:pPr>
        <w:spacing w:line="360" w:lineRule="auto"/>
        <w:rPr>
          <w:rFonts w:hint="eastAsia" w:ascii="宋体" w:hAnsi="宋体" w:cs="宋体"/>
          <w:color w:val="auto"/>
          <w:sz w:val="24"/>
          <w:szCs w:val="24"/>
          <w:highlight w:val="none"/>
        </w:rPr>
      </w:pPr>
    </w:p>
    <w:p w14:paraId="3B36CC38">
      <w:pPr>
        <w:spacing w:line="360" w:lineRule="auto"/>
        <w:rPr>
          <w:rFonts w:hint="eastAsia" w:ascii="宋体" w:hAnsi="宋体" w:cs="宋体"/>
          <w:color w:val="auto"/>
          <w:sz w:val="24"/>
          <w:szCs w:val="24"/>
          <w:highlight w:val="none"/>
        </w:rPr>
      </w:pPr>
    </w:p>
    <w:p w14:paraId="1791E645">
      <w:pPr>
        <w:spacing w:line="360" w:lineRule="auto"/>
        <w:rPr>
          <w:rFonts w:hint="eastAsia" w:ascii="宋体" w:hAnsi="宋体" w:cs="宋体"/>
          <w:color w:val="auto"/>
          <w:sz w:val="24"/>
          <w:szCs w:val="24"/>
          <w:highlight w:val="none"/>
        </w:rPr>
      </w:pPr>
    </w:p>
    <w:p w14:paraId="781F8EEE">
      <w:pPr>
        <w:spacing w:line="360" w:lineRule="auto"/>
        <w:rPr>
          <w:rFonts w:hint="eastAsia" w:ascii="宋体" w:hAnsi="宋体" w:cs="宋体"/>
          <w:color w:val="auto"/>
          <w:sz w:val="24"/>
          <w:szCs w:val="24"/>
          <w:highlight w:val="none"/>
        </w:rPr>
      </w:pPr>
    </w:p>
    <w:p w14:paraId="1E5D5CF4">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、投标（响应）保证承诺书</w:t>
      </w:r>
    </w:p>
    <w:p w14:paraId="3F92689A">
      <w:pPr>
        <w:tabs>
          <w:tab w:val="left" w:pos="8930"/>
          <w:tab w:val="left" w:pos="9306"/>
        </w:tabs>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投标（响应）保证承诺书</w:t>
      </w:r>
    </w:p>
    <w:p w14:paraId="383CF8FD">
      <w:pPr>
        <w:tabs>
          <w:tab w:val="left" w:pos="8930"/>
          <w:tab w:val="left" w:pos="9306"/>
        </w:tabs>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cs/>
        </w:rPr>
        <w:t> </w:t>
      </w:r>
      <w:r>
        <w:rPr>
          <w:rFonts w:hint="eastAsia" w:ascii="宋体" w:hAnsi="宋体" w:cs="宋体"/>
          <w:color w:val="auto"/>
          <w:sz w:val="24"/>
          <w:szCs w:val="24"/>
          <w:highlight w:val="none"/>
          <w:u w:val="single"/>
        </w:rPr>
        <w:t>（采购代理机构名称）</w:t>
      </w:r>
    </w:p>
    <w:p w14:paraId="5647157D">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我（单位/本人，以下统称我单位）自愿参加</w:t>
      </w:r>
      <w:r>
        <w:rPr>
          <w:rFonts w:hint="eastAsia" w:ascii="宋体" w:hAnsi="宋体" w:cs="宋体"/>
          <w:color w:val="auto"/>
          <w:sz w:val="24"/>
          <w:szCs w:val="24"/>
          <w:highlight w:val="none"/>
          <w:u w:val="single"/>
        </w:rPr>
        <w:t>（项目名称和采购编号）</w:t>
      </w:r>
      <w:r>
        <w:rPr>
          <w:rFonts w:hint="eastAsia" w:ascii="宋体" w:hAnsi="宋体" w:cs="宋体"/>
          <w:color w:val="auto"/>
          <w:sz w:val="24"/>
          <w:szCs w:val="24"/>
          <w:highlight w:val="none"/>
        </w:rPr>
        <w:t>的投标（响应）,并做出如下承诺：</w:t>
      </w:r>
    </w:p>
    <w:p w14:paraId="3C883D06">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一、除不可抗力外，我单位如果发生以下行为，将在行为发生的10个工作日内，向贵方</w:t>
      </w:r>
      <w:r>
        <w:rPr>
          <w:rFonts w:hint="eastAsia" w:ascii="宋体" w:hAnsi="宋体" w:cs="宋体"/>
          <w:color w:val="auto"/>
          <w:sz w:val="24"/>
          <w:szCs w:val="24"/>
          <w:highlight w:val="none"/>
          <w:u w:val="single"/>
        </w:rPr>
        <w:t>（或采购人）</w:t>
      </w:r>
      <w:r>
        <w:rPr>
          <w:rFonts w:hint="eastAsia" w:ascii="宋体" w:hAnsi="宋体" w:cs="宋体"/>
          <w:color w:val="auto"/>
          <w:sz w:val="24"/>
          <w:szCs w:val="24"/>
          <w:highlight w:val="none"/>
        </w:rPr>
        <w:t>支付本采购文件公布的预算金额（或最高限价）的2%作为违约赔偿金（数量不确定的单价采购须约定具体金额）。</w:t>
      </w:r>
    </w:p>
    <w:p w14:paraId="1019DB10">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1、自投标（响应）截止时间至本项目发布中标（成交）公告为止，撤销投标（响应）；</w:t>
      </w:r>
    </w:p>
    <w:p w14:paraId="312D1DB7">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2、中标（成交）后不依法与采购人签订合同；</w:t>
      </w:r>
    </w:p>
    <w:p w14:paraId="75A8FD3E">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3、中标（成交）后不按本采购文件规定向贵方缴纳采购代理费。</w:t>
      </w:r>
    </w:p>
    <w:p w14:paraId="16C56442">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二、我单位知晓上述行为的法律后果，承认本承诺书作为贵方</w:t>
      </w:r>
      <w:r>
        <w:rPr>
          <w:rFonts w:hint="eastAsia" w:ascii="宋体" w:hAnsi="宋体" w:cs="宋体"/>
          <w:color w:val="auto"/>
          <w:sz w:val="24"/>
          <w:szCs w:val="24"/>
          <w:highlight w:val="none"/>
          <w:u w:val="single"/>
        </w:rPr>
        <w:t>（或采购人）</w:t>
      </w:r>
      <w:r>
        <w:rPr>
          <w:rFonts w:hint="eastAsia" w:ascii="宋体" w:hAnsi="宋体" w:cs="宋体"/>
          <w:color w:val="auto"/>
          <w:sz w:val="24"/>
          <w:szCs w:val="24"/>
          <w:highlight w:val="none"/>
        </w:rPr>
        <w:t>要求我单位履行违约赔偿义务的依据作用。</w:t>
      </w:r>
    </w:p>
    <w:p w14:paraId="515AABCD">
      <w:pPr>
        <w:tabs>
          <w:tab w:val="left" w:pos="8930"/>
          <w:tab w:val="left" w:pos="9306"/>
        </w:tabs>
        <w:spacing w:line="360" w:lineRule="auto"/>
        <w:ind w:firstLine="420"/>
        <w:jc w:val="left"/>
        <w:rPr>
          <w:rFonts w:hint="eastAsia" w:ascii="宋体" w:hAnsi="宋体" w:cs="宋体"/>
          <w:color w:val="auto"/>
          <w:sz w:val="24"/>
          <w:szCs w:val="24"/>
          <w:highlight w:val="none"/>
        </w:rPr>
      </w:pPr>
    </w:p>
    <w:p w14:paraId="63893255">
      <w:pPr>
        <w:tabs>
          <w:tab w:val="left" w:pos="8930"/>
          <w:tab w:val="left" w:pos="9306"/>
        </w:tabs>
        <w:spacing w:line="360" w:lineRule="auto"/>
        <w:ind w:firstLine="420"/>
        <w:jc w:val="left"/>
        <w:rPr>
          <w:rFonts w:hint="eastAsia" w:ascii="宋体" w:hAnsi="宋体" w:cs="宋体"/>
          <w:color w:val="auto"/>
          <w:sz w:val="24"/>
          <w:szCs w:val="24"/>
          <w:highlight w:val="none"/>
        </w:rPr>
      </w:pPr>
    </w:p>
    <w:p w14:paraId="3F049BC7">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投标（响应）人：（盖公章）</w:t>
      </w:r>
    </w:p>
    <w:p w14:paraId="099A0B2E">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cs/>
        </w:rPr>
        <w:t>     </w:t>
      </w:r>
    </w:p>
    <w:p w14:paraId="3181FBB3">
      <w:pPr>
        <w:tabs>
          <w:tab w:val="left" w:pos="8930"/>
          <w:tab w:val="left" w:pos="9306"/>
        </w:tabs>
        <w:spacing w:line="360" w:lineRule="auto"/>
        <w:ind w:firstLine="420"/>
        <w:jc w:val="left"/>
        <w:rPr>
          <w:rFonts w:hint="eastAsia" w:ascii="宋体" w:hAnsi="宋体" w:cs="宋体"/>
          <w:color w:val="auto"/>
          <w:sz w:val="24"/>
          <w:szCs w:val="24"/>
          <w:highlight w:val="none"/>
          <w:cs/>
        </w:rPr>
      </w:pPr>
      <w:r>
        <w:rPr>
          <w:rFonts w:hint="eastAsia" w:ascii="宋体" w:hAnsi="宋体" w:cs="宋体"/>
          <w:color w:val="auto"/>
          <w:sz w:val="24"/>
          <w:szCs w:val="24"/>
          <w:highlight w:val="none"/>
        </w:rPr>
        <w:t>电话：</w:t>
      </w:r>
      <w:r>
        <w:rPr>
          <w:rFonts w:hint="eastAsia" w:ascii="宋体" w:hAnsi="宋体" w:cs="宋体"/>
          <w:color w:val="auto"/>
          <w:sz w:val="24"/>
          <w:szCs w:val="24"/>
          <w:highlight w:val="none"/>
          <w:cs/>
        </w:rPr>
        <w:t> </w:t>
      </w:r>
    </w:p>
    <w:p w14:paraId="737F7C18">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p w14:paraId="7BF295AF">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电子邮件：</w:t>
      </w:r>
    </w:p>
    <w:p w14:paraId="4E0469BE">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邮编：</w:t>
      </w:r>
      <w:r>
        <w:rPr>
          <w:rFonts w:hint="eastAsia" w:ascii="宋体" w:hAnsi="宋体" w:cs="宋体"/>
          <w:color w:val="auto"/>
          <w:sz w:val="24"/>
          <w:szCs w:val="24"/>
          <w:highlight w:val="none"/>
          <w:cs/>
        </w:rPr>
        <w:t>   </w:t>
      </w:r>
    </w:p>
    <w:p w14:paraId="1DDC37FB">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法定代表人或委托代理人(签字或签章)：</w:t>
      </w:r>
      <w:r>
        <w:rPr>
          <w:rFonts w:hint="eastAsia" w:ascii="宋体" w:hAnsi="宋体" w:cs="宋体"/>
          <w:color w:val="auto"/>
          <w:sz w:val="24"/>
          <w:szCs w:val="24"/>
          <w:highlight w:val="none"/>
          <w:cs/>
        </w:rPr>
        <w:t>   </w:t>
      </w:r>
    </w:p>
    <w:p w14:paraId="673DF094">
      <w:pPr>
        <w:tabs>
          <w:tab w:val="left" w:pos="8930"/>
          <w:tab w:val="left" w:pos="9306"/>
        </w:tabs>
        <w:spacing w:line="360" w:lineRule="auto"/>
        <w:ind w:firstLine="4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cs/>
        </w:rPr>
        <w:t>      </w:t>
      </w:r>
    </w:p>
    <w:p w14:paraId="4F60E96F">
      <w:pPr>
        <w:spacing w:line="360" w:lineRule="auto"/>
        <w:rPr>
          <w:rFonts w:hint="eastAsia" w:ascii="宋体" w:hAnsi="宋体" w:cs="宋体"/>
          <w:color w:val="auto"/>
          <w:szCs w:val="21"/>
          <w:highlight w:val="none"/>
        </w:rPr>
      </w:pPr>
    </w:p>
    <w:p w14:paraId="33CFE8AB">
      <w:pPr>
        <w:spacing w:line="360" w:lineRule="auto"/>
        <w:rPr>
          <w:rFonts w:hint="eastAsia" w:ascii="宋体" w:hAnsi="宋体" w:cs="宋体"/>
          <w:color w:val="auto"/>
          <w:szCs w:val="21"/>
          <w:highlight w:val="none"/>
        </w:rPr>
      </w:pPr>
    </w:p>
    <w:p w14:paraId="65D173C2">
      <w:pPr>
        <w:rPr>
          <w:rStyle w:val="261"/>
          <w:rFonts w:hint="eastAsia" w:ascii="宋体" w:hAnsi="宋体" w:cs="宋体"/>
          <w:color w:val="auto"/>
          <w:sz w:val="48"/>
          <w:szCs w:val="48"/>
          <w:highlight w:val="none"/>
        </w:rPr>
      </w:pPr>
      <w:r>
        <w:rPr>
          <w:rStyle w:val="261"/>
          <w:rFonts w:hint="eastAsia" w:ascii="宋体" w:hAnsi="宋体" w:cs="宋体"/>
          <w:color w:val="auto"/>
          <w:sz w:val="48"/>
          <w:szCs w:val="48"/>
          <w:highlight w:val="none"/>
        </w:rPr>
        <w:br w:type="page" w:clear="all"/>
      </w:r>
    </w:p>
    <w:p w14:paraId="51FD8A86">
      <w:pPr>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与其他单位存在控股、管理关系情况表</w:t>
      </w:r>
    </w:p>
    <w:p w14:paraId="4164D4F0">
      <w:pPr>
        <w:pStyle w:val="15"/>
        <w:jc w:val="left"/>
        <w:rPr>
          <w:rFonts w:hint="eastAsia" w:ascii="宋体" w:hAnsi="宋体" w:cs="宋体"/>
          <w:color w:val="auto"/>
          <w:sz w:val="24"/>
          <w:highlight w:val="none"/>
        </w:rPr>
      </w:pPr>
    </w:p>
    <w:p w14:paraId="6AD84A04">
      <w:pPr>
        <w:spacing w:line="30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与其他单位存在控股、管理关系情况表</w:t>
      </w:r>
    </w:p>
    <w:p w14:paraId="1208B9C7">
      <w:pPr>
        <w:pStyle w:val="15"/>
        <w:rPr>
          <w:rFonts w:hint="eastAsia" w:ascii="宋体" w:hAnsi="宋体" w:cs="宋体"/>
          <w:color w:val="auto"/>
          <w:highlight w:val="none"/>
        </w:rPr>
      </w:pPr>
    </w:p>
    <w:tbl>
      <w:tblPr>
        <w:tblStyle w:val="38"/>
        <w:tblW w:w="9248" w:type="dxa"/>
        <w:jc w:val="center"/>
        <w:tblLayout w:type="fixed"/>
        <w:tblCellMar>
          <w:top w:w="0" w:type="dxa"/>
          <w:left w:w="108" w:type="dxa"/>
          <w:bottom w:w="0" w:type="dxa"/>
          <w:right w:w="108" w:type="dxa"/>
        </w:tblCellMar>
      </w:tblPr>
      <w:tblGrid>
        <w:gridCol w:w="5347"/>
        <w:gridCol w:w="3901"/>
      </w:tblGrid>
      <w:tr w14:paraId="1264F156">
        <w:tblPrEx>
          <w:tblCellMar>
            <w:top w:w="0" w:type="dxa"/>
            <w:left w:w="108" w:type="dxa"/>
            <w:bottom w:w="0" w:type="dxa"/>
            <w:right w:w="108" w:type="dxa"/>
          </w:tblCellMar>
        </w:tblPrEx>
        <w:trPr>
          <w:trHeight w:val="637"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2A16278B">
            <w:pPr>
              <w:spacing w:line="30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与</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存在控股、管理关系的单位名称</w:t>
            </w:r>
          </w:p>
        </w:tc>
        <w:tc>
          <w:tcPr>
            <w:tcW w:w="3901" w:type="dxa"/>
            <w:tcBorders>
              <w:top w:val="single" w:color="000000" w:sz="4" w:space="0"/>
              <w:left w:val="nil"/>
              <w:bottom w:val="single" w:color="000000" w:sz="4" w:space="0"/>
              <w:right w:val="single" w:color="000000" w:sz="4" w:space="0"/>
            </w:tcBorders>
            <w:noWrap w:val="0"/>
            <w:vAlign w:val="center"/>
          </w:tcPr>
          <w:p w14:paraId="246F5329">
            <w:pPr>
              <w:spacing w:line="30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控股、管理关系情况说明</w:t>
            </w:r>
          </w:p>
        </w:tc>
      </w:tr>
      <w:tr w14:paraId="3755EB8F">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0CA0B9C5">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5F52D58B">
            <w:pPr>
              <w:spacing w:line="300" w:lineRule="auto"/>
              <w:jc w:val="center"/>
              <w:rPr>
                <w:rFonts w:hint="eastAsia" w:ascii="宋体" w:hAnsi="宋体" w:cs="宋体"/>
                <w:b/>
                <w:bCs/>
                <w:color w:val="auto"/>
                <w:sz w:val="24"/>
                <w:szCs w:val="24"/>
                <w:highlight w:val="none"/>
              </w:rPr>
            </w:pPr>
          </w:p>
        </w:tc>
      </w:tr>
      <w:tr w14:paraId="708ED52D">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463663BC">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6379CBBA">
            <w:pPr>
              <w:spacing w:line="300" w:lineRule="auto"/>
              <w:jc w:val="center"/>
              <w:rPr>
                <w:rFonts w:hint="eastAsia" w:ascii="宋体" w:hAnsi="宋体" w:cs="宋体"/>
                <w:b/>
                <w:bCs/>
                <w:color w:val="auto"/>
                <w:sz w:val="24"/>
                <w:szCs w:val="24"/>
                <w:highlight w:val="none"/>
              </w:rPr>
            </w:pPr>
          </w:p>
        </w:tc>
      </w:tr>
      <w:tr w14:paraId="101561B1">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4537B94A">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6AB85EE5">
            <w:pPr>
              <w:spacing w:line="300" w:lineRule="auto"/>
              <w:jc w:val="center"/>
              <w:rPr>
                <w:rFonts w:hint="eastAsia" w:ascii="宋体" w:hAnsi="宋体" w:cs="宋体"/>
                <w:b/>
                <w:bCs/>
                <w:color w:val="auto"/>
                <w:sz w:val="24"/>
                <w:szCs w:val="24"/>
                <w:highlight w:val="none"/>
              </w:rPr>
            </w:pPr>
          </w:p>
        </w:tc>
      </w:tr>
      <w:tr w14:paraId="1F1F9F88">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34D0CF04">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636343AA">
            <w:pPr>
              <w:spacing w:line="300" w:lineRule="auto"/>
              <w:jc w:val="center"/>
              <w:rPr>
                <w:rFonts w:hint="eastAsia" w:ascii="宋体" w:hAnsi="宋体" w:cs="宋体"/>
                <w:b/>
                <w:bCs/>
                <w:color w:val="auto"/>
                <w:sz w:val="24"/>
                <w:szCs w:val="24"/>
                <w:highlight w:val="none"/>
              </w:rPr>
            </w:pPr>
          </w:p>
        </w:tc>
      </w:tr>
      <w:tr w14:paraId="0B649493">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44EFF6DF">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5C51E614">
            <w:pPr>
              <w:spacing w:line="300" w:lineRule="auto"/>
              <w:jc w:val="center"/>
              <w:rPr>
                <w:rFonts w:hint="eastAsia" w:ascii="宋体" w:hAnsi="宋体" w:cs="宋体"/>
                <w:b/>
                <w:bCs/>
                <w:color w:val="auto"/>
                <w:sz w:val="24"/>
                <w:szCs w:val="24"/>
                <w:highlight w:val="none"/>
              </w:rPr>
            </w:pPr>
          </w:p>
        </w:tc>
      </w:tr>
      <w:tr w14:paraId="75493B33">
        <w:tblPrEx>
          <w:tblCellMar>
            <w:top w:w="0" w:type="dxa"/>
            <w:left w:w="108" w:type="dxa"/>
            <w:bottom w:w="0" w:type="dxa"/>
            <w:right w:w="108" w:type="dxa"/>
          </w:tblCellMar>
        </w:tblPrEx>
        <w:trPr>
          <w:trHeight w:val="850" w:hRule="atLeast"/>
          <w:jc w:val="center"/>
        </w:trPr>
        <w:tc>
          <w:tcPr>
            <w:tcW w:w="5347" w:type="dxa"/>
            <w:tcBorders>
              <w:top w:val="single" w:color="000000" w:sz="4" w:space="0"/>
              <w:left w:val="single" w:color="000000" w:sz="4" w:space="0"/>
              <w:bottom w:val="single" w:color="000000" w:sz="4" w:space="0"/>
              <w:right w:val="single" w:color="000000" w:sz="4" w:space="0"/>
            </w:tcBorders>
            <w:noWrap w:val="0"/>
            <w:vAlign w:val="center"/>
          </w:tcPr>
          <w:p w14:paraId="61932D6F">
            <w:pPr>
              <w:spacing w:line="300" w:lineRule="auto"/>
              <w:jc w:val="center"/>
              <w:rPr>
                <w:rFonts w:hint="eastAsia" w:ascii="宋体" w:hAnsi="宋体" w:cs="宋体"/>
                <w:b/>
                <w:bCs/>
                <w:color w:val="auto"/>
                <w:sz w:val="24"/>
                <w:szCs w:val="24"/>
                <w:highlight w:val="none"/>
              </w:rPr>
            </w:pPr>
          </w:p>
        </w:tc>
        <w:tc>
          <w:tcPr>
            <w:tcW w:w="3901" w:type="dxa"/>
            <w:tcBorders>
              <w:top w:val="single" w:color="000000" w:sz="4" w:space="0"/>
              <w:left w:val="nil"/>
              <w:bottom w:val="single" w:color="000000" w:sz="4" w:space="0"/>
              <w:right w:val="single" w:color="000000" w:sz="4" w:space="0"/>
            </w:tcBorders>
            <w:noWrap w:val="0"/>
            <w:vAlign w:val="center"/>
          </w:tcPr>
          <w:p w14:paraId="14874FFE">
            <w:pPr>
              <w:spacing w:line="300" w:lineRule="auto"/>
              <w:jc w:val="center"/>
              <w:rPr>
                <w:rFonts w:hint="eastAsia" w:ascii="宋体" w:hAnsi="宋体" w:cs="宋体"/>
                <w:b/>
                <w:bCs/>
                <w:color w:val="auto"/>
                <w:sz w:val="24"/>
                <w:szCs w:val="24"/>
                <w:highlight w:val="none"/>
              </w:rPr>
            </w:pPr>
          </w:p>
        </w:tc>
      </w:tr>
    </w:tbl>
    <w:p w14:paraId="7C3DB0A4">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应当按实填写所有与之有控股、管理关系的情况。</w:t>
      </w:r>
    </w:p>
    <w:p w14:paraId="120B3093">
      <w:pPr>
        <w:rPr>
          <w:rFonts w:hint="eastAsia" w:ascii="宋体" w:hAnsi="宋体" w:cs="宋体"/>
          <w:b/>
          <w:bCs/>
          <w:color w:val="auto"/>
          <w:sz w:val="24"/>
          <w:szCs w:val="24"/>
          <w:highlight w:val="none"/>
        </w:rPr>
      </w:pPr>
    </w:p>
    <w:p w14:paraId="77F4B90E">
      <w:pPr>
        <w:rPr>
          <w:rFonts w:hint="eastAsia" w:ascii="宋体" w:hAnsi="宋体" w:cs="宋体"/>
          <w:b/>
          <w:bCs/>
          <w:color w:val="auto"/>
          <w:sz w:val="24"/>
          <w:szCs w:val="24"/>
          <w:highlight w:val="none"/>
        </w:rPr>
      </w:pPr>
    </w:p>
    <w:p w14:paraId="47FC3610">
      <w:pPr>
        <w:rPr>
          <w:rFonts w:hint="eastAsia" w:ascii="宋体" w:hAnsi="宋体" w:cs="宋体"/>
          <w:b/>
          <w:bCs/>
          <w:color w:val="auto"/>
          <w:sz w:val="24"/>
          <w:szCs w:val="24"/>
          <w:highlight w:val="none"/>
        </w:rPr>
      </w:pPr>
    </w:p>
    <w:p w14:paraId="23E97723">
      <w:pPr>
        <w:rPr>
          <w:rFonts w:hint="eastAsia" w:ascii="宋体" w:hAnsi="宋体" w:cs="宋体"/>
          <w:b/>
          <w:bCs/>
          <w:color w:val="auto"/>
          <w:sz w:val="24"/>
          <w:szCs w:val="24"/>
          <w:highlight w:val="none"/>
        </w:rPr>
      </w:pPr>
    </w:p>
    <w:p w14:paraId="4FF5ECF0">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供应商：（单位盖章）</w:t>
      </w:r>
    </w:p>
    <w:p w14:paraId="35275E5C">
      <w:pPr>
        <w:spacing w:line="360" w:lineRule="auto"/>
        <w:jc w:val="left"/>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法定代表人或授权代理人：（签字或盖章）</w:t>
      </w:r>
    </w:p>
    <w:p w14:paraId="237B2A5E">
      <w:pPr>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DD3E60F">
      <w:pPr>
        <w:rPr>
          <w:rStyle w:val="261"/>
          <w:rFonts w:hint="eastAsia" w:ascii="宋体" w:hAnsi="宋体" w:cs="宋体"/>
          <w:color w:val="auto"/>
          <w:sz w:val="48"/>
          <w:szCs w:val="48"/>
          <w:highlight w:val="none"/>
        </w:rPr>
      </w:pPr>
      <w:r>
        <w:rPr>
          <w:rStyle w:val="261"/>
          <w:rFonts w:hint="eastAsia" w:ascii="宋体" w:hAnsi="宋体" w:cs="宋体"/>
          <w:color w:val="auto"/>
          <w:sz w:val="48"/>
          <w:szCs w:val="48"/>
          <w:highlight w:val="none"/>
        </w:rPr>
        <w:br w:type="page" w:clear="all"/>
      </w:r>
    </w:p>
    <w:p w14:paraId="04FE5F60">
      <w:pPr>
        <w:spacing w:line="360" w:lineRule="auto"/>
        <w:jc w:val="center"/>
        <w:outlineLvl w:val="0"/>
        <w:rPr>
          <w:rStyle w:val="261"/>
          <w:rFonts w:hint="eastAsia" w:ascii="宋体" w:hAnsi="宋体" w:cs="宋体"/>
          <w:color w:val="auto"/>
          <w:sz w:val="48"/>
          <w:szCs w:val="48"/>
          <w:highlight w:val="none"/>
        </w:rPr>
      </w:pPr>
      <w:bookmarkStart w:id="37" w:name="_Toc22762"/>
      <w:r>
        <w:rPr>
          <w:rStyle w:val="261"/>
          <w:rFonts w:hint="eastAsia" w:ascii="宋体" w:hAnsi="宋体" w:cs="宋体"/>
          <w:color w:val="auto"/>
          <w:sz w:val="48"/>
          <w:szCs w:val="48"/>
          <w:highlight w:val="none"/>
        </w:rPr>
        <w:t>第四章 采购内容</w:t>
      </w:r>
      <w:bookmarkEnd w:id="37"/>
    </w:p>
    <w:p w14:paraId="19AC38E1">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苏州市诚捷项目管理有限公司</w:t>
      </w:r>
      <w:r>
        <w:rPr>
          <w:rFonts w:hint="eastAsia" w:ascii="宋体" w:hAnsi="宋体" w:cs="宋体"/>
          <w:color w:val="auto"/>
          <w:sz w:val="24"/>
          <w:szCs w:val="24"/>
          <w:highlight w:val="none"/>
        </w:rPr>
        <w:t>受</w:t>
      </w:r>
      <w:r>
        <w:rPr>
          <w:rFonts w:hint="eastAsia" w:ascii="宋体" w:hAnsi="宋体" w:cs="宋体"/>
          <w:color w:val="auto"/>
          <w:sz w:val="24"/>
          <w:szCs w:val="24"/>
          <w:highlight w:val="none"/>
          <w:lang w:eastAsia="zh-CN"/>
        </w:rPr>
        <w:t>苏州市浒墅关经济技术开发区社区管理办公室</w:t>
      </w:r>
      <w:r>
        <w:rPr>
          <w:rFonts w:hint="eastAsia" w:ascii="宋体" w:hAnsi="宋体" w:cs="宋体"/>
          <w:color w:val="auto"/>
          <w:sz w:val="24"/>
          <w:szCs w:val="24"/>
          <w:highlight w:val="none"/>
        </w:rPr>
        <w:t>的委托，就其所需</w:t>
      </w:r>
      <w:r>
        <w:rPr>
          <w:rFonts w:hint="eastAsia" w:ascii="宋体" w:hAnsi="宋体" w:cs="宋体"/>
          <w:color w:val="auto"/>
          <w:sz w:val="24"/>
          <w:szCs w:val="24"/>
          <w:highlight w:val="none"/>
          <w:lang w:eastAsia="zh-CN"/>
        </w:rPr>
        <w:t>苏州浒墅关经济技术开发区社区管理办公室食堂外包项目</w:t>
      </w:r>
      <w:r>
        <w:rPr>
          <w:rFonts w:hint="eastAsia" w:ascii="宋体" w:hAnsi="宋体" w:cs="宋体"/>
          <w:color w:val="auto"/>
          <w:sz w:val="24"/>
          <w:szCs w:val="24"/>
          <w:highlight w:val="none"/>
        </w:rPr>
        <w:t>采购项目采用竞争性磋商方式进行采购，欢迎符合相关条件的供应商前来参加本次磋商采购活动。</w:t>
      </w:r>
    </w:p>
    <w:p w14:paraId="3CB316B1">
      <w:pPr>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一、采购编号：</w:t>
      </w:r>
      <w:r>
        <w:rPr>
          <w:rFonts w:hint="eastAsia" w:ascii="宋体" w:hAnsi="宋体" w:cs="宋体"/>
          <w:b/>
          <w:bCs/>
          <w:color w:val="auto"/>
          <w:sz w:val="24"/>
          <w:szCs w:val="24"/>
          <w:highlight w:val="none"/>
          <w:lang w:eastAsia="zh-CN"/>
        </w:rPr>
        <w:t>JSZC-320505-CJZT-C2025-0015</w:t>
      </w:r>
    </w:p>
    <w:p w14:paraId="3F322662">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二、项目名称：</w:t>
      </w:r>
      <w:r>
        <w:rPr>
          <w:rFonts w:hint="eastAsia" w:ascii="宋体" w:hAnsi="宋体" w:cs="宋体"/>
          <w:color w:val="auto"/>
          <w:sz w:val="24"/>
          <w:szCs w:val="24"/>
          <w:highlight w:val="none"/>
          <w:lang w:eastAsia="zh-CN"/>
        </w:rPr>
        <w:t>苏州浒墅关经济技术开发区社区管理办公室食堂外包项目</w:t>
      </w:r>
    </w:p>
    <w:p w14:paraId="3BAE34A2">
      <w:pPr>
        <w:keepNext w:val="0"/>
        <w:keepLines w:val="0"/>
        <w:pageBreakBefore w:val="0"/>
        <w:widowControl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三、采购内容：</w:t>
      </w:r>
    </w:p>
    <w:p w14:paraId="5AC523E1">
      <w:pPr>
        <w:keepNext w:val="0"/>
        <w:keepLines w:val="0"/>
        <w:pageBreakBefore w:val="0"/>
        <w:widowControl/>
        <w:spacing w:line="360" w:lineRule="auto"/>
        <w:ind w:left="0"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w:t>
      </w:r>
    </w:p>
    <w:tbl>
      <w:tblPr>
        <w:tblStyle w:val="38"/>
        <w:tblW w:w="80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53"/>
        <w:gridCol w:w="1938"/>
        <w:gridCol w:w="1199"/>
        <w:gridCol w:w="1692"/>
        <w:gridCol w:w="1281"/>
        <w:gridCol w:w="953"/>
      </w:tblGrid>
      <w:tr w14:paraId="15C27B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30B31456">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0" w:type="auto"/>
            <w:tcBorders>
              <w:top w:val="single" w:color="auto" w:sz="4" w:space="0"/>
              <w:left w:val="single" w:color="auto" w:sz="4" w:space="0"/>
              <w:bottom w:val="single" w:color="auto" w:sz="4" w:space="0"/>
              <w:right w:val="single" w:color="auto" w:sz="4" w:space="0"/>
            </w:tcBorders>
            <w:noWrap/>
            <w:vAlign w:val="center"/>
          </w:tcPr>
          <w:p w14:paraId="40EB9C64">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分项名称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023BECE">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天数</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C81138E">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0" w:type="auto"/>
            <w:tcBorders>
              <w:top w:val="single" w:color="auto" w:sz="4" w:space="0"/>
              <w:left w:val="single" w:color="auto" w:sz="4" w:space="0"/>
              <w:bottom w:val="single" w:color="auto" w:sz="4" w:space="0"/>
              <w:right w:val="single" w:color="auto" w:sz="4" w:space="0"/>
            </w:tcBorders>
            <w:noWrap/>
            <w:vAlign w:val="center"/>
          </w:tcPr>
          <w:p w14:paraId="341237D6">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1206418">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63372F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10B2BA6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539FDF0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早餐</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2CCBC93">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DD5E18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70人/天</w:t>
            </w:r>
          </w:p>
        </w:tc>
        <w:tc>
          <w:tcPr>
            <w:tcW w:w="0" w:type="auto"/>
            <w:tcBorders>
              <w:top w:val="single" w:color="auto" w:sz="4" w:space="0"/>
              <w:left w:val="single" w:color="auto" w:sz="4" w:space="0"/>
              <w:bottom w:val="single" w:color="auto" w:sz="4" w:space="0"/>
              <w:right w:val="single" w:color="auto" w:sz="4" w:space="0"/>
            </w:tcBorders>
            <w:noWrap/>
            <w:vAlign w:val="center"/>
          </w:tcPr>
          <w:p w14:paraId="1E0E779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25550</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2AA6053E">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r w14:paraId="74F6C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6CF40DD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645BB6E2">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午餐和晚餐</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88329F0">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365天</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D29C96D">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319人/天</w:t>
            </w:r>
          </w:p>
        </w:tc>
        <w:tc>
          <w:tcPr>
            <w:tcW w:w="0" w:type="auto"/>
            <w:tcBorders>
              <w:top w:val="single" w:color="auto" w:sz="4" w:space="0"/>
              <w:left w:val="single" w:color="auto" w:sz="4" w:space="0"/>
              <w:bottom w:val="single" w:color="auto" w:sz="4" w:space="0"/>
              <w:right w:val="single" w:color="auto" w:sz="4" w:space="0"/>
            </w:tcBorders>
            <w:noWrap/>
            <w:vAlign w:val="center"/>
          </w:tcPr>
          <w:p w14:paraId="631FF6DF">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116435</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4BA42AA">
            <w:pPr>
              <w:pStyle w:val="300"/>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份</w:t>
            </w:r>
          </w:p>
        </w:tc>
      </w:tr>
    </w:tbl>
    <w:p w14:paraId="3F626D8C">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总价=早餐套餐单价×早餐数量（25550份）+午餐和晚餐套餐单价×午餐和晚餐数量（116435份）</w:t>
      </w:r>
    </w:p>
    <w:p w14:paraId="055F376F">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1、职工早餐：</w:t>
      </w:r>
    </w:p>
    <w:p w14:paraId="41B4AE9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（1）用餐人数：总人数约70人；</w:t>
      </w:r>
    </w:p>
    <w:p w14:paraId="621AD17D">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（2）套餐餐标：10元/份，套餐单价报价不得高于套餐餐标，否则视为非实质性响应；</w:t>
      </w:r>
    </w:p>
    <w:p w14:paraId="69490489">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（3）用餐时间：7：30—8：30；</w:t>
      </w:r>
    </w:p>
    <w:p w14:paraId="60E2C33B">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（4）套餐标准：提供粥、面、馄饨等多种基础套餐，粥套餐至少包含粥/豆浆、各式点心3种、小菜、荷包蛋或水煮蛋；面套餐至少包含光面、荤素浇头。</w:t>
      </w:r>
    </w:p>
    <w:p w14:paraId="2976193B">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（5）早餐部分按实际用餐职工数量结算。</w:t>
      </w:r>
    </w:p>
    <w:p w14:paraId="432996D5">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A.粥类：皮蛋瘦肉粥、地瓜粥、红豆粥等；</w:t>
      </w:r>
    </w:p>
    <w:p w14:paraId="30A45937">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B.豆浆：鲜榨豆浆；</w:t>
      </w:r>
    </w:p>
    <w:p w14:paraId="673A1EA5">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C.点心：馒头、肉包、菜包、烧麦、粗粮（玉米、山芋、南瓜等）等，手工制作，非冰冻；</w:t>
      </w:r>
    </w:p>
    <w:p w14:paraId="14F8B799">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D.荤浇头：大排、熏鱼、爆鳝等；</w:t>
      </w:r>
    </w:p>
    <w:p w14:paraId="0744C447">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E.素浇头：面巾、素鸡、菌菇等。</w:t>
      </w:r>
    </w:p>
    <w:p w14:paraId="7187B9AB">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2、职工午餐和晚餐：</w:t>
      </w:r>
    </w:p>
    <w:p w14:paraId="43A7BD9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（1）用餐人数：总人数约319人，按实际就餐人数结算；</w:t>
      </w:r>
    </w:p>
    <w:p w14:paraId="4AA8424F">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（2）套餐餐标：20元/份，套餐单价报价不得高于套餐餐标，否则视为非实质性响应；</w:t>
      </w:r>
    </w:p>
    <w:p w14:paraId="04A56482">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（3）用餐时间：11：00—12：30、17：00—18：40；</w:t>
      </w:r>
    </w:p>
    <w:p w14:paraId="11F3AF4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必须确保</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的开膳时间，于开膳时间前15分钟准时将饭菜放在柜台；</w:t>
      </w:r>
    </w:p>
    <w:p w14:paraId="0196619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（5）基本套餐标准（以苏帮菜、淮扬菜、粤菜为主）：两大荤选一、两小荤、一素菜、一水果、一酸奶、汤、米饭等必备内容，除此之外</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可自行增加内容；</w:t>
      </w:r>
    </w:p>
    <w:p w14:paraId="716F494E">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（6）当天菜色、晚餐和第二天中餐的菜色不可重复；</w:t>
      </w:r>
    </w:p>
    <w:p w14:paraId="264F4DFE">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（7）按实际用餐职工数量结算。</w:t>
      </w:r>
    </w:p>
    <w:p w14:paraId="4F1BB0AC">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A.大荤：如熏鱼、酱猪肉、牛肉、大排、虾等；</w:t>
      </w:r>
    </w:p>
    <w:p w14:paraId="42038A54">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B.小荤：如炒肉丝、西红柿炒蛋、油面筋塞肉等；</w:t>
      </w:r>
    </w:p>
    <w:p w14:paraId="39868FE8">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C.素菜：时令蔬菜、豆制品、菌菇类等；</w:t>
      </w:r>
    </w:p>
    <w:p w14:paraId="44250F24">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D.汤：如紫菜蛋汤、冬瓜排骨汤等；</w:t>
      </w:r>
    </w:p>
    <w:p w14:paraId="7014D5F8">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E.水果：如哈密瓜、石榴等（水果品种按季节替换）；</w:t>
      </w:r>
    </w:p>
    <w:p w14:paraId="74621DED">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F.酸奶：复原奶、优酪奶等；</w:t>
      </w:r>
    </w:p>
    <w:p w14:paraId="185CC658">
      <w:pPr>
        <w:keepNext w:val="0"/>
        <w:keepLines w:val="0"/>
        <w:pageBreakBefore w:val="0"/>
        <w:widowControl/>
        <w:spacing w:line="360" w:lineRule="auto"/>
        <w:ind w:left="0" w:firstLine="7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G.米饭。</w:t>
      </w:r>
    </w:p>
    <w:p w14:paraId="1FE2EBD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3、高温工作日（天气预报当日气温超过35度）下午14:00-15:00</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须准时免费供应足量绿豆汤。</w:t>
      </w:r>
    </w:p>
    <w:p w14:paraId="37C37351">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4、时令节气等对应有特定食品的，需根据情况在早餐或者午餐中提供，如：清明节（青团子、酱猪肉）、立夏（咸鸭蛋）、元宵（汤圆）、端午（粽子）等。</w:t>
      </w:r>
    </w:p>
    <w:p w14:paraId="5F250831">
      <w:pPr>
        <w:keepNext w:val="0"/>
        <w:keepLines w:val="0"/>
        <w:pageBreakBefore w:val="0"/>
        <w:widowControl/>
        <w:spacing w:line="360" w:lineRule="auto"/>
        <w:ind w:left="0"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（二）服务要求：</w:t>
      </w:r>
    </w:p>
    <w:p w14:paraId="2EC6B8D3">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1、早中晚餐以套餐形式供应。</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须提供上述品种足够的份量确保职工均能享用。</w:t>
      </w:r>
    </w:p>
    <w:p w14:paraId="5BAA1F94">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在每周星期四前草拟出下周菜单送</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审阅，周五公布以征求</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职工意见，如</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职工对菜式不满，须提前二天通知</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更换，</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须尽力解决，若因客观原因不能更改，</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须立即反馈给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w:t>
      </w:r>
    </w:p>
    <w:p w14:paraId="562488B2">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负责采购食品原材料及配料等素材，所采购食品素材须有品牌、保证品质，禁止使用“三无”产品、地沟油、转基因油等不合格原料，每周内半成品、冰冻品和腌制品作为菜色不得超过两次(</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须在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承诺每周食材均以新鲜食材为主，半成品、冰冻品和腌制品每周不超过两次)。每日由厨师长开具食品素材及用量清单，确保所采购的食品素材新鲜、安全、卫生，并对采购的食品素材质量负责。所用食物原材料、烹饪原料需有指定的供货商且供货商名录需提供给采购人备案。</w:t>
      </w:r>
    </w:p>
    <w:p w14:paraId="6F9E25A4">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4、食品制作及加工程序必须符合国家卫生标准。</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供应给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的食物必须每天留样，并保存于冰箱48小时以备查验。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有权不定时检查</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的生产场地，并就发现的问题要求</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整改。</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有权不定时检查食材进货凭证和新鲜度、仓库物品出入库记录，并就发现的问题要求</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整改。</w:t>
      </w:r>
    </w:p>
    <w:p w14:paraId="6E23D51C">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将成立食堂用餐监督小组，对每月用餐情况进行考核评分，若低于80分，将根据低于1分，扣除当月用餐总数1%的费用，以此类推；每季度进行综合评分，若连续两个季度综合评分低于70分，将影响明年招标资格。</w:t>
      </w:r>
    </w:p>
    <w:p w14:paraId="59069BBD">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提供餐厅现有基础设施由</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运营，</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须尽心管理</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场地、细心维护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设施设备，及时报修受损物品，维修费由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承担。</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定期清理泔脚、疏通下水道、定期清洗油烟排放系统（每季度一次）、清洁消毒等，做好日常运营管理工作，此项费用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不再另行支付。</w:t>
      </w:r>
    </w:p>
    <w:p w14:paraId="3D334B54">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7、职工就餐餐具由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提供，每季度损耗在2%以内的由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承担，超出部分由</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承担。</w:t>
      </w:r>
    </w:p>
    <w:p w14:paraId="540250AA">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8、日常用餐所需的水、电、燃气等能源费用由</w:t>
      </w:r>
      <w:r>
        <w:rPr>
          <w:rFonts w:hint="eastAsia" w:ascii="宋体" w:hAnsi="宋体" w:cs="宋体"/>
          <w:color w:val="auto"/>
          <w:sz w:val="24"/>
          <w:szCs w:val="24"/>
          <w:highlight w:val="none"/>
          <w:lang w:val="en-US" w:eastAsia="zh-CN"/>
        </w:rPr>
        <w:t>成交人</w:t>
      </w:r>
      <w:r>
        <w:rPr>
          <w:rFonts w:hint="eastAsia" w:ascii="宋体" w:hAnsi="宋体" w:eastAsia="宋体" w:cs="宋体"/>
          <w:color w:val="auto"/>
          <w:sz w:val="24"/>
          <w:szCs w:val="24"/>
          <w:highlight w:val="none"/>
        </w:rPr>
        <w:t>承担。</w:t>
      </w:r>
    </w:p>
    <w:p w14:paraId="597C3431">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9、人员配置要求：</w:t>
      </w:r>
    </w:p>
    <w:p w14:paraId="75C0A6D5">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须制定管理制度，确保所有服务人员着装整齐并遵守规章制度，服从工作安排。服务人员身体健康、遵纪守法。</w:t>
      </w:r>
    </w:p>
    <w:p w14:paraId="186801FA">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9.2本次</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最低人员设置要求如下表，</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的用餐及服务需求合理配置保质保量完成</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的用餐需求。如不能满足</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用餐需求的，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有权对人员配置提出增减替换的要求，</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须在一周内按照</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的要求将人员配置到位，否则，视为</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违约，按合同相关规定处理。</w:t>
      </w:r>
    </w:p>
    <w:p w14:paraId="0DF62B32">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3A2FDED9">
      <w:pPr>
        <w:keepNext w:val="0"/>
        <w:keepLines w:val="0"/>
        <w:pageBreakBefore w:val="0"/>
        <w:widowControl/>
        <w:spacing w:line="360" w:lineRule="auto"/>
        <w:ind w:lef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人员配置要求清单：</w:t>
      </w:r>
    </w:p>
    <w:tbl>
      <w:tblPr>
        <w:tblStyle w:val="38"/>
        <w:tblW w:w="980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786"/>
        <w:gridCol w:w="1182"/>
        <w:gridCol w:w="1444"/>
        <w:gridCol w:w="863"/>
        <w:gridCol w:w="761"/>
        <w:gridCol w:w="3579"/>
        <w:gridCol w:w="1193"/>
      </w:tblGrid>
      <w:tr w14:paraId="2D4BF45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0" w:hRule="atLeast"/>
          <w:jc w:val="center"/>
        </w:trPr>
        <w:tc>
          <w:tcPr>
            <w:tcW w:w="786"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3CC5A8CD">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w:t>
            </w:r>
          </w:p>
        </w:tc>
        <w:tc>
          <w:tcPr>
            <w:tcW w:w="1182" w:type="dxa"/>
            <w:tcBorders>
              <w:top w:val="single" w:color="auto" w:sz="8" w:space="0"/>
              <w:left w:val="nil"/>
              <w:bottom w:val="single" w:color="auto" w:sz="8" w:space="0"/>
              <w:right w:val="single" w:color="auto" w:sz="8" w:space="0"/>
            </w:tcBorders>
            <w:noWrap/>
            <w:tcMar>
              <w:left w:w="108" w:type="dxa"/>
              <w:right w:w="108" w:type="dxa"/>
            </w:tcMar>
            <w:vAlign w:val="center"/>
          </w:tcPr>
          <w:p w14:paraId="531BEAED">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人员类别</w:t>
            </w:r>
          </w:p>
        </w:tc>
        <w:tc>
          <w:tcPr>
            <w:tcW w:w="1444" w:type="dxa"/>
            <w:tcBorders>
              <w:top w:val="single" w:color="auto" w:sz="8" w:space="0"/>
              <w:left w:val="nil"/>
              <w:bottom w:val="single" w:color="auto" w:sz="8" w:space="0"/>
              <w:right w:val="single" w:color="auto" w:sz="8" w:space="0"/>
            </w:tcBorders>
            <w:noWrap/>
            <w:tcMar>
              <w:left w:w="108" w:type="dxa"/>
              <w:right w:w="108" w:type="dxa"/>
            </w:tcMar>
            <w:vAlign w:val="center"/>
          </w:tcPr>
          <w:p w14:paraId="22A06319">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年龄及学历要求</w:t>
            </w:r>
          </w:p>
        </w:tc>
        <w:tc>
          <w:tcPr>
            <w:tcW w:w="863" w:type="dxa"/>
            <w:tcBorders>
              <w:top w:val="single" w:color="auto" w:sz="8" w:space="0"/>
              <w:left w:val="nil"/>
              <w:bottom w:val="single" w:color="auto" w:sz="8" w:space="0"/>
              <w:right w:val="single" w:color="auto" w:sz="8" w:space="0"/>
            </w:tcBorders>
            <w:noWrap/>
            <w:tcMar>
              <w:left w:w="108" w:type="dxa"/>
              <w:right w:w="108" w:type="dxa"/>
            </w:tcMar>
            <w:vAlign w:val="center"/>
          </w:tcPr>
          <w:p w14:paraId="60FAFD6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761" w:type="dxa"/>
            <w:tcBorders>
              <w:top w:val="single" w:color="auto" w:sz="8" w:space="0"/>
              <w:left w:val="nil"/>
              <w:bottom w:val="single" w:color="auto" w:sz="8" w:space="0"/>
              <w:right w:val="single" w:color="auto" w:sz="8" w:space="0"/>
            </w:tcBorders>
            <w:noWrap/>
            <w:tcMar>
              <w:left w:w="108" w:type="dxa"/>
              <w:right w:w="108" w:type="dxa"/>
            </w:tcMar>
            <w:vAlign w:val="center"/>
          </w:tcPr>
          <w:p w14:paraId="7AE2DE3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人数最低要求</w:t>
            </w:r>
          </w:p>
        </w:tc>
        <w:tc>
          <w:tcPr>
            <w:tcW w:w="3579" w:type="dxa"/>
            <w:tcBorders>
              <w:top w:val="single" w:color="auto" w:sz="8" w:space="0"/>
              <w:left w:val="nil"/>
              <w:bottom w:val="single" w:color="auto" w:sz="8" w:space="0"/>
              <w:right w:val="single" w:color="auto" w:sz="8" w:space="0"/>
            </w:tcBorders>
            <w:noWrap/>
            <w:tcMar>
              <w:left w:w="108" w:type="dxa"/>
              <w:right w:w="108" w:type="dxa"/>
            </w:tcMar>
            <w:vAlign w:val="center"/>
          </w:tcPr>
          <w:p w14:paraId="78F20589">
            <w:pPr>
              <w:keepNext w:val="0"/>
              <w:keepLines w:val="0"/>
              <w:pageBreakBefore w:val="0"/>
              <w:widowControl/>
              <w:spacing w:line="360" w:lineRule="auto"/>
              <w:ind w:left="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基本要求</w:t>
            </w:r>
          </w:p>
        </w:tc>
        <w:tc>
          <w:tcPr>
            <w:tcW w:w="1193" w:type="dxa"/>
            <w:tcBorders>
              <w:top w:val="single" w:color="auto" w:sz="8" w:space="0"/>
              <w:left w:val="nil"/>
              <w:bottom w:val="single" w:color="auto" w:sz="8" w:space="0"/>
              <w:right w:val="single" w:color="auto" w:sz="8" w:space="0"/>
            </w:tcBorders>
            <w:noWrap/>
            <w:tcMar>
              <w:left w:w="108" w:type="dxa"/>
              <w:right w:w="108" w:type="dxa"/>
            </w:tcMar>
            <w:vAlign w:val="center"/>
          </w:tcPr>
          <w:p w14:paraId="2B0F57F0">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C58BD7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786" w:type="dxa"/>
            <w:vMerge w:val="restart"/>
            <w:tcBorders>
              <w:top w:val="nil"/>
              <w:left w:val="single" w:color="auto" w:sz="8" w:space="0"/>
              <w:right w:val="single" w:color="auto" w:sz="8" w:space="0"/>
            </w:tcBorders>
            <w:noWrap/>
            <w:tcMar>
              <w:left w:w="108" w:type="dxa"/>
              <w:right w:w="108" w:type="dxa"/>
            </w:tcMar>
            <w:vAlign w:val="center"/>
          </w:tcPr>
          <w:p w14:paraId="0BAE1A0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餐饮服务</w:t>
            </w:r>
          </w:p>
          <w:p w14:paraId="4728E880">
            <w:pPr>
              <w:keepNext w:val="0"/>
              <w:keepLines w:val="0"/>
              <w:pageBreakBefore w:val="0"/>
              <w:widowControl/>
              <w:spacing w:line="360" w:lineRule="auto"/>
              <w:ind w:left="0" w:firstLine="480"/>
              <w:jc w:val="center"/>
              <w:rPr>
                <w:rFonts w:hint="eastAsia" w:ascii="宋体" w:hAnsi="宋体" w:eastAsia="宋体" w:cs="宋体"/>
                <w:color w:val="auto"/>
                <w:sz w:val="24"/>
                <w:szCs w:val="24"/>
                <w:highlight w:val="none"/>
              </w:rPr>
            </w:pPr>
          </w:p>
        </w:tc>
        <w:tc>
          <w:tcPr>
            <w:tcW w:w="1182" w:type="dxa"/>
            <w:tcBorders>
              <w:top w:val="nil"/>
              <w:left w:val="nil"/>
              <w:bottom w:val="single" w:color="auto" w:sz="8" w:space="0"/>
              <w:right w:val="single" w:color="auto" w:sz="8" w:space="0"/>
            </w:tcBorders>
            <w:noWrap/>
            <w:tcMar>
              <w:left w:w="108" w:type="dxa"/>
              <w:right w:w="108" w:type="dxa"/>
            </w:tcMar>
            <w:vAlign w:val="center"/>
          </w:tcPr>
          <w:p w14:paraId="058E77C7">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厨师长</w:t>
            </w:r>
          </w:p>
        </w:tc>
        <w:tc>
          <w:tcPr>
            <w:tcW w:w="1444" w:type="dxa"/>
            <w:tcBorders>
              <w:top w:val="nil"/>
              <w:left w:val="nil"/>
              <w:bottom w:val="single" w:color="auto" w:sz="8" w:space="0"/>
              <w:right w:val="single" w:color="auto" w:sz="8" w:space="0"/>
            </w:tcBorders>
            <w:noWrap/>
            <w:tcMar>
              <w:left w:w="108" w:type="dxa"/>
              <w:right w:w="108" w:type="dxa"/>
            </w:tcMar>
            <w:vAlign w:val="center"/>
          </w:tcPr>
          <w:p w14:paraId="08F24B0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79B0B0E5">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55</w:t>
            </w:r>
            <w:r>
              <w:rPr>
                <w:rFonts w:hint="eastAsia" w:ascii="宋体" w:hAnsi="宋体" w:eastAsia="宋体" w:cs="宋体"/>
                <w:color w:val="auto"/>
                <w:sz w:val="24"/>
                <w:szCs w:val="24"/>
                <w:highlight w:val="none"/>
              </w:rPr>
              <w:t>周岁</w:t>
            </w:r>
          </w:p>
          <w:p w14:paraId="38E82554">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高中以上学历</w:t>
            </w:r>
          </w:p>
        </w:tc>
        <w:tc>
          <w:tcPr>
            <w:tcW w:w="863" w:type="dxa"/>
            <w:tcBorders>
              <w:top w:val="nil"/>
              <w:left w:val="nil"/>
              <w:bottom w:val="single" w:color="auto" w:sz="8" w:space="0"/>
              <w:right w:val="single" w:color="auto" w:sz="8" w:space="0"/>
            </w:tcBorders>
            <w:noWrap/>
            <w:tcMar>
              <w:left w:w="108" w:type="dxa"/>
              <w:right w:w="108" w:type="dxa"/>
            </w:tcMar>
            <w:vAlign w:val="center"/>
          </w:tcPr>
          <w:p w14:paraId="7CA915C2">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w:t>
            </w:r>
          </w:p>
        </w:tc>
        <w:tc>
          <w:tcPr>
            <w:tcW w:w="761" w:type="dxa"/>
            <w:tcBorders>
              <w:top w:val="nil"/>
              <w:left w:val="nil"/>
              <w:bottom w:val="single" w:color="auto" w:sz="8" w:space="0"/>
              <w:right w:val="single" w:color="auto" w:sz="8" w:space="0"/>
            </w:tcBorders>
            <w:noWrap/>
            <w:tcMar>
              <w:left w:w="108" w:type="dxa"/>
              <w:right w:w="108" w:type="dxa"/>
            </w:tcMar>
            <w:vAlign w:val="center"/>
          </w:tcPr>
          <w:p w14:paraId="5E4213FA">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w:t>
            </w:r>
          </w:p>
        </w:tc>
        <w:tc>
          <w:tcPr>
            <w:tcW w:w="3579" w:type="dxa"/>
            <w:tcBorders>
              <w:top w:val="nil"/>
              <w:left w:val="nil"/>
              <w:bottom w:val="single" w:color="auto" w:sz="8" w:space="0"/>
              <w:right w:val="single" w:color="auto" w:sz="8" w:space="0"/>
            </w:tcBorders>
            <w:noWrap/>
            <w:tcMar>
              <w:left w:w="108" w:type="dxa"/>
              <w:right w:w="108" w:type="dxa"/>
            </w:tcMar>
            <w:vAlign w:val="center"/>
          </w:tcPr>
          <w:p w14:paraId="1D94E1A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持有 “健康证”，熟知红、白案各岗位烹饪方法，具有八年以上厨房工作经验，三年以上相关的工作管理经验，熟知厨房的相关食品、环境等卫生条例，有较强的协调和组织能力。</w:t>
            </w:r>
          </w:p>
        </w:tc>
        <w:tc>
          <w:tcPr>
            <w:tcW w:w="1193" w:type="dxa"/>
            <w:tcBorders>
              <w:top w:val="nil"/>
              <w:left w:val="nil"/>
              <w:bottom w:val="single" w:color="auto" w:sz="8" w:space="0"/>
              <w:right w:val="single" w:color="auto" w:sz="8" w:space="0"/>
            </w:tcBorders>
            <w:noWrap/>
            <w:tcMar>
              <w:left w:w="108" w:type="dxa"/>
              <w:right w:w="108" w:type="dxa"/>
            </w:tcMar>
            <w:vAlign w:val="center"/>
          </w:tcPr>
          <w:p w14:paraId="33B36BD9">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r>
      <w:tr w14:paraId="62F1C4C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19" w:hRule="atLeast"/>
          <w:jc w:val="center"/>
        </w:trPr>
        <w:tc>
          <w:tcPr>
            <w:tcW w:w="786" w:type="dxa"/>
            <w:vMerge w:val="continue"/>
            <w:tcBorders>
              <w:left w:val="single" w:color="auto" w:sz="8" w:space="0"/>
              <w:right w:val="single" w:color="auto" w:sz="8" w:space="0"/>
            </w:tcBorders>
            <w:noWrap/>
            <w:tcMar>
              <w:left w:w="108" w:type="dxa"/>
              <w:right w:w="108" w:type="dxa"/>
            </w:tcMar>
            <w:vAlign w:val="center"/>
          </w:tcPr>
          <w:p w14:paraId="4A75981B">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c>
          <w:tcPr>
            <w:tcW w:w="1182" w:type="dxa"/>
            <w:tcBorders>
              <w:top w:val="nil"/>
              <w:left w:val="nil"/>
              <w:bottom w:val="single" w:color="auto" w:sz="8" w:space="0"/>
              <w:right w:val="single" w:color="auto" w:sz="8" w:space="0"/>
            </w:tcBorders>
            <w:noWrap/>
            <w:tcMar>
              <w:left w:w="108" w:type="dxa"/>
              <w:right w:w="108" w:type="dxa"/>
            </w:tcMar>
            <w:vAlign w:val="center"/>
          </w:tcPr>
          <w:p w14:paraId="4706608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厨师</w:t>
            </w:r>
          </w:p>
        </w:tc>
        <w:tc>
          <w:tcPr>
            <w:tcW w:w="1444" w:type="dxa"/>
            <w:tcBorders>
              <w:top w:val="nil"/>
              <w:left w:val="nil"/>
              <w:bottom w:val="single" w:color="auto" w:sz="8" w:space="0"/>
              <w:right w:val="single" w:color="auto" w:sz="8" w:space="0"/>
            </w:tcBorders>
            <w:noWrap/>
            <w:tcMar>
              <w:left w:w="108" w:type="dxa"/>
              <w:right w:w="108" w:type="dxa"/>
            </w:tcMar>
            <w:vAlign w:val="center"/>
          </w:tcPr>
          <w:p w14:paraId="68544FD0">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7E09240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周岁</w:t>
            </w:r>
          </w:p>
        </w:tc>
        <w:tc>
          <w:tcPr>
            <w:tcW w:w="863" w:type="dxa"/>
            <w:tcBorders>
              <w:top w:val="nil"/>
              <w:left w:val="nil"/>
              <w:bottom w:val="single" w:color="auto" w:sz="8" w:space="0"/>
              <w:right w:val="single" w:color="auto" w:sz="8" w:space="0"/>
            </w:tcBorders>
            <w:noWrap/>
            <w:tcMar>
              <w:left w:w="108" w:type="dxa"/>
              <w:right w:w="108" w:type="dxa"/>
            </w:tcMar>
            <w:vAlign w:val="center"/>
          </w:tcPr>
          <w:p w14:paraId="16946EE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w:t>
            </w:r>
          </w:p>
        </w:tc>
        <w:tc>
          <w:tcPr>
            <w:tcW w:w="761" w:type="dxa"/>
            <w:tcBorders>
              <w:top w:val="nil"/>
              <w:left w:val="nil"/>
              <w:bottom w:val="single" w:color="auto" w:sz="8" w:space="0"/>
              <w:right w:val="single" w:color="auto" w:sz="8" w:space="0"/>
            </w:tcBorders>
            <w:noWrap/>
            <w:tcMar>
              <w:left w:w="108" w:type="dxa"/>
              <w:right w:w="108" w:type="dxa"/>
            </w:tcMar>
            <w:vAlign w:val="center"/>
          </w:tcPr>
          <w:p w14:paraId="51F18C97">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w:t>
            </w:r>
          </w:p>
        </w:tc>
        <w:tc>
          <w:tcPr>
            <w:tcW w:w="3579" w:type="dxa"/>
            <w:tcBorders>
              <w:top w:val="nil"/>
              <w:left w:val="nil"/>
              <w:bottom w:val="single" w:color="auto" w:sz="8" w:space="0"/>
              <w:right w:val="single" w:color="auto" w:sz="8" w:space="0"/>
            </w:tcBorders>
            <w:noWrap/>
            <w:tcMar>
              <w:left w:w="108" w:type="dxa"/>
              <w:right w:w="108" w:type="dxa"/>
            </w:tcMar>
            <w:vAlign w:val="center"/>
          </w:tcPr>
          <w:p w14:paraId="1012B5E7">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持有“健康证”，有五年以上相关的工作管理经验，熟知厨房的相关食品、环境等卫生条例。</w:t>
            </w:r>
          </w:p>
        </w:tc>
        <w:tc>
          <w:tcPr>
            <w:tcW w:w="1193" w:type="dxa"/>
            <w:tcBorders>
              <w:top w:val="nil"/>
              <w:left w:val="nil"/>
              <w:bottom w:val="single" w:color="auto" w:sz="8" w:space="0"/>
              <w:right w:val="single" w:color="auto" w:sz="8" w:space="0"/>
            </w:tcBorders>
            <w:noWrap/>
            <w:tcMar>
              <w:left w:w="108" w:type="dxa"/>
              <w:right w:w="108" w:type="dxa"/>
            </w:tcMar>
            <w:vAlign w:val="center"/>
          </w:tcPr>
          <w:p w14:paraId="2C2ECFC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r>
      <w:tr w14:paraId="227E286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19" w:hRule="atLeast"/>
          <w:jc w:val="center"/>
        </w:trPr>
        <w:tc>
          <w:tcPr>
            <w:tcW w:w="786" w:type="dxa"/>
            <w:vMerge w:val="continue"/>
            <w:tcBorders>
              <w:left w:val="single" w:color="auto" w:sz="8" w:space="0"/>
              <w:right w:val="single" w:color="auto" w:sz="8" w:space="0"/>
            </w:tcBorders>
            <w:noWrap/>
            <w:tcMar>
              <w:left w:w="108" w:type="dxa"/>
              <w:right w:w="108" w:type="dxa"/>
            </w:tcMar>
            <w:vAlign w:val="center"/>
          </w:tcPr>
          <w:p w14:paraId="702A2410">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c>
          <w:tcPr>
            <w:tcW w:w="1182" w:type="dxa"/>
            <w:tcBorders>
              <w:top w:val="nil"/>
              <w:left w:val="nil"/>
              <w:bottom w:val="single" w:color="auto" w:sz="8" w:space="0"/>
              <w:right w:val="single" w:color="auto" w:sz="8" w:space="0"/>
            </w:tcBorders>
            <w:noWrap/>
            <w:tcMar>
              <w:left w:w="108" w:type="dxa"/>
              <w:right w:w="108" w:type="dxa"/>
            </w:tcMar>
            <w:vAlign w:val="center"/>
          </w:tcPr>
          <w:p w14:paraId="3E2ABAF5">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点心师</w:t>
            </w:r>
          </w:p>
        </w:tc>
        <w:tc>
          <w:tcPr>
            <w:tcW w:w="1444" w:type="dxa"/>
            <w:tcBorders>
              <w:top w:val="nil"/>
              <w:left w:val="nil"/>
              <w:bottom w:val="single" w:color="auto" w:sz="8" w:space="0"/>
              <w:right w:val="single" w:color="auto" w:sz="8" w:space="0"/>
            </w:tcBorders>
            <w:noWrap/>
            <w:tcMar>
              <w:left w:w="108" w:type="dxa"/>
              <w:right w:w="108" w:type="dxa"/>
            </w:tcMar>
            <w:vAlign w:val="center"/>
          </w:tcPr>
          <w:p w14:paraId="5BAD19A7">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1392616B">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≤50周岁</w:t>
            </w:r>
          </w:p>
        </w:tc>
        <w:tc>
          <w:tcPr>
            <w:tcW w:w="863" w:type="dxa"/>
            <w:tcBorders>
              <w:top w:val="nil"/>
              <w:left w:val="nil"/>
              <w:bottom w:val="single" w:color="auto" w:sz="8" w:space="0"/>
              <w:right w:val="single" w:color="auto" w:sz="8" w:space="0"/>
            </w:tcBorders>
            <w:noWrap/>
            <w:tcMar>
              <w:left w:w="108" w:type="dxa"/>
              <w:right w:w="108" w:type="dxa"/>
            </w:tcMar>
            <w:vAlign w:val="center"/>
          </w:tcPr>
          <w:p w14:paraId="2CBD5A9D">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w:t>
            </w:r>
          </w:p>
        </w:tc>
        <w:tc>
          <w:tcPr>
            <w:tcW w:w="761" w:type="dxa"/>
            <w:tcBorders>
              <w:top w:val="nil"/>
              <w:left w:val="nil"/>
              <w:bottom w:val="single" w:color="auto" w:sz="8" w:space="0"/>
              <w:right w:val="single" w:color="auto" w:sz="8" w:space="0"/>
            </w:tcBorders>
            <w:noWrap/>
            <w:tcMar>
              <w:left w:w="108" w:type="dxa"/>
              <w:right w:w="108" w:type="dxa"/>
            </w:tcMar>
            <w:vAlign w:val="center"/>
          </w:tcPr>
          <w:p w14:paraId="3AE3C3B5">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w:t>
            </w:r>
          </w:p>
        </w:tc>
        <w:tc>
          <w:tcPr>
            <w:tcW w:w="3579" w:type="dxa"/>
            <w:tcBorders>
              <w:top w:val="nil"/>
              <w:left w:val="nil"/>
              <w:bottom w:val="single" w:color="auto" w:sz="8" w:space="0"/>
              <w:right w:val="single" w:color="auto" w:sz="8" w:space="0"/>
            </w:tcBorders>
            <w:noWrap/>
            <w:tcMar>
              <w:left w:w="108" w:type="dxa"/>
              <w:right w:w="108" w:type="dxa"/>
            </w:tcMar>
            <w:vAlign w:val="center"/>
          </w:tcPr>
          <w:p w14:paraId="150815C2">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持有“健康证”，有五年以上相关的工作管理经验，熟知厨房的相关食品、环境等卫生条例。</w:t>
            </w:r>
          </w:p>
        </w:tc>
        <w:tc>
          <w:tcPr>
            <w:tcW w:w="1193" w:type="dxa"/>
            <w:tcBorders>
              <w:top w:val="nil"/>
              <w:left w:val="nil"/>
              <w:bottom w:val="single" w:color="auto" w:sz="8" w:space="0"/>
              <w:right w:val="single" w:color="auto" w:sz="8" w:space="0"/>
            </w:tcBorders>
            <w:noWrap/>
            <w:tcMar>
              <w:left w:w="108" w:type="dxa"/>
              <w:right w:w="108" w:type="dxa"/>
            </w:tcMar>
            <w:vAlign w:val="center"/>
          </w:tcPr>
          <w:p w14:paraId="50B5330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r>
      <w:tr w14:paraId="11646AB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46" w:hRule="atLeast"/>
          <w:jc w:val="center"/>
        </w:trPr>
        <w:tc>
          <w:tcPr>
            <w:tcW w:w="786" w:type="dxa"/>
            <w:vMerge w:val="continue"/>
            <w:tcBorders>
              <w:left w:val="single" w:color="auto" w:sz="8" w:space="0"/>
              <w:right w:val="single" w:color="auto" w:sz="8" w:space="0"/>
            </w:tcBorders>
            <w:noWrap/>
            <w:tcMar>
              <w:left w:w="108" w:type="dxa"/>
              <w:right w:w="108" w:type="dxa"/>
            </w:tcMar>
            <w:vAlign w:val="center"/>
          </w:tcPr>
          <w:p w14:paraId="7D6A64FE">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c>
          <w:tcPr>
            <w:tcW w:w="1182" w:type="dxa"/>
            <w:tcBorders>
              <w:top w:val="nil"/>
              <w:left w:val="nil"/>
              <w:bottom w:val="single" w:color="auto" w:sz="8" w:space="0"/>
              <w:right w:val="single" w:color="auto" w:sz="8" w:space="0"/>
            </w:tcBorders>
            <w:noWrap/>
            <w:tcMar>
              <w:left w:w="108" w:type="dxa"/>
              <w:right w:w="108" w:type="dxa"/>
            </w:tcMar>
            <w:vAlign w:val="center"/>
          </w:tcPr>
          <w:p w14:paraId="2546812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1444" w:type="dxa"/>
            <w:tcBorders>
              <w:top w:val="nil"/>
              <w:left w:val="nil"/>
              <w:bottom w:val="single" w:color="auto" w:sz="8" w:space="0"/>
              <w:right w:val="single" w:color="auto" w:sz="8" w:space="0"/>
            </w:tcBorders>
            <w:noWrap/>
            <w:tcMar>
              <w:left w:w="108" w:type="dxa"/>
              <w:right w:w="108" w:type="dxa"/>
            </w:tcMar>
            <w:vAlign w:val="center"/>
          </w:tcPr>
          <w:p w14:paraId="7D0CFA3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2072244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≤40周岁</w:t>
            </w:r>
          </w:p>
          <w:p w14:paraId="6880265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高中以上学历</w:t>
            </w:r>
          </w:p>
        </w:tc>
        <w:tc>
          <w:tcPr>
            <w:tcW w:w="863" w:type="dxa"/>
            <w:tcBorders>
              <w:top w:val="nil"/>
              <w:left w:val="nil"/>
              <w:bottom w:val="single" w:color="auto" w:sz="8" w:space="0"/>
              <w:right w:val="single" w:color="auto" w:sz="8" w:space="0"/>
            </w:tcBorders>
            <w:noWrap/>
            <w:tcMar>
              <w:left w:w="108" w:type="dxa"/>
              <w:right w:w="108" w:type="dxa"/>
            </w:tcMar>
            <w:vAlign w:val="center"/>
          </w:tcPr>
          <w:p w14:paraId="0D9049F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男女不限</w:t>
            </w:r>
          </w:p>
        </w:tc>
        <w:tc>
          <w:tcPr>
            <w:tcW w:w="761" w:type="dxa"/>
            <w:tcBorders>
              <w:top w:val="nil"/>
              <w:left w:val="nil"/>
              <w:bottom w:val="single" w:color="auto" w:sz="8" w:space="0"/>
              <w:right w:val="single" w:color="auto" w:sz="8" w:space="0"/>
            </w:tcBorders>
            <w:noWrap/>
            <w:tcMar>
              <w:left w:w="108" w:type="dxa"/>
              <w:right w:w="108" w:type="dxa"/>
            </w:tcMar>
            <w:vAlign w:val="center"/>
          </w:tcPr>
          <w:p w14:paraId="255D407A">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1人</w:t>
            </w:r>
          </w:p>
        </w:tc>
        <w:tc>
          <w:tcPr>
            <w:tcW w:w="3579" w:type="dxa"/>
            <w:tcBorders>
              <w:top w:val="nil"/>
              <w:left w:val="nil"/>
              <w:bottom w:val="single" w:color="auto" w:sz="8" w:space="0"/>
              <w:right w:val="single" w:color="auto" w:sz="8" w:space="0"/>
            </w:tcBorders>
            <w:noWrap/>
            <w:tcMar>
              <w:left w:w="108" w:type="dxa"/>
              <w:right w:w="108" w:type="dxa"/>
            </w:tcMar>
            <w:vAlign w:val="center"/>
          </w:tcPr>
          <w:p w14:paraId="21B90EB5">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具有酒店主管服务经验，善于沟通协调与管理，认真细致</w:t>
            </w:r>
          </w:p>
        </w:tc>
        <w:tc>
          <w:tcPr>
            <w:tcW w:w="1193" w:type="dxa"/>
            <w:tcBorders>
              <w:top w:val="nil"/>
              <w:left w:val="nil"/>
              <w:bottom w:val="single" w:color="auto" w:sz="8" w:space="0"/>
              <w:right w:val="single" w:color="auto" w:sz="8" w:space="0"/>
            </w:tcBorders>
            <w:noWrap/>
            <w:tcMar>
              <w:left w:w="108" w:type="dxa"/>
              <w:right w:w="108" w:type="dxa"/>
            </w:tcMar>
            <w:vAlign w:val="center"/>
          </w:tcPr>
          <w:p w14:paraId="5AB450E7">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上岗前需由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确认</w:t>
            </w:r>
          </w:p>
        </w:tc>
      </w:tr>
      <w:tr w14:paraId="63604B7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422" w:hRule="atLeast"/>
          <w:jc w:val="center"/>
        </w:trPr>
        <w:tc>
          <w:tcPr>
            <w:tcW w:w="786" w:type="dxa"/>
            <w:vMerge w:val="continue"/>
            <w:tcBorders>
              <w:left w:val="single" w:color="auto" w:sz="8" w:space="0"/>
              <w:right w:val="single" w:color="auto" w:sz="8" w:space="0"/>
            </w:tcBorders>
            <w:noWrap/>
            <w:tcMar>
              <w:left w:w="108" w:type="dxa"/>
              <w:right w:w="108" w:type="dxa"/>
            </w:tcMar>
            <w:vAlign w:val="center"/>
          </w:tcPr>
          <w:p w14:paraId="30169B86">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c>
          <w:tcPr>
            <w:tcW w:w="1182"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34DFBA8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勤杂工</w:t>
            </w:r>
          </w:p>
        </w:tc>
        <w:tc>
          <w:tcPr>
            <w:tcW w:w="1444"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575D5611">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4ACB2E7D">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≤50周岁</w:t>
            </w:r>
          </w:p>
        </w:tc>
        <w:tc>
          <w:tcPr>
            <w:tcW w:w="863"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2D937ED9">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男女不限</w:t>
            </w:r>
          </w:p>
        </w:tc>
        <w:tc>
          <w:tcPr>
            <w:tcW w:w="761"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1AF1207A">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人</w:t>
            </w:r>
          </w:p>
        </w:tc>
        <w:tc>
          <w:tcPr>
            <w:tcW w:w="3579"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0397BA0C">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有敬业和吃苦耐劳精神，卫生意识强，具有一年以上厨房工作经验，懂得各种鲜肉及蔬菜等食品的精加工。</w:t>
            </w:r>
          </w:p>
        </w:tc>
        <w:tc>
          <w:tcPr>
            <w:tcW w:w="1193" w:type="dxa"/>
            <w:tcBorders>
              <w:top w:val="single" w:color="auto" w:sz="8" w:space="0"/>
              <w:left w:val="single" w:color="auto" w:sz="8" w:space="0"/>
              <w:bottom w:val="single" w:color="auto" w:sz="8" w:space="0"/>
              <w:right w:val="single" w:color="auto" w:sz="8" w:space="0"/>
            </w:tcBorders>
            <w:noWrap/>
            <w:tcMar>
              <w:left w:w="108" w:type="dxa"/>
              <w:right w:w="108" w:type="dxa"/>
            </w:tcMar>
            <w:vAlign w:val="center"/>
          </w:tcPr>
          <w:p w14:paraId="6706213A">
            <w:pPr>
              <w:keepNext w:val="0"/>
              <w:keepLines w:val="0"/>
              <w:pageBreakBefore w:val="0"/>
              <w:widowControl/>
              <w:spacing w:line="360" w:lineRule="auto"/>
              <w:ind w:left="0" w:firstLine="480"/>
              <w:jc w:val="center"/>
              <w:rPr>
                <w:rFonts w:hint="eastAsia" w:ascii="宋体" w:hAnsi="宋体" w:eastAsia="宋体" w:cs="宋体"/>
                <w:color w:val="auto"/>
                <w:sz w:val="24"/>
                <w:szCs w:val="24"/>
                <w:highlight w:val="none"/>
              </w:rPr>
            </w:pPr>
          </w:p>
        </w:tc>
      </w:tr>
      <w:tr w14:paraId="1B2A4FC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552" w:hRule="atLeast"/>
          <w:jc w:val="center"/>
        </w:trPr>
        <w:tc>
          <w:tcPr>
            <w:tcW w:w="786" w:type="dxa"/>
            <w:vMerge w:val="continue"/>
            <w:tcBorders>
              <w:left w:val="single" w:color="auto" w:sz="8" w:space="0"/>
              <w:bottom w:val="single" w:color="auto" w:sz="8" w:space="0"/>
              <w:right w:val="single" w:color="auto" w:sz="8" w:space="0"/>
            </w:tcBorders>
            <w:noWrap/>
            <w:tcMar>
              <w:left w:w="108" w:type="dxa"/>
              <w:right w:w="108" w:type="dxa"/>
            </w:tcMar>
            <w:vAlign w:val="center"/>
          </w:tcPr>
          <w:p w14:paraId="7C4AD3BD">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p>
        </w:tc>
        <w:tc>
          <w:tcPr>
            <w:tcW w:w="1182" w:type="dxa"/>
            <w:tcBorders>
              <w:top w:val="single" w:color="auto" w:sz="8" w:space="0"/>
              <w:left w:val="nil"/>
              <w:bottom w:val="single" w:color="auto" w:sz="8" w:space="0"/>
              <w:right w:val="single" w:color="auto" w:sz="8" w:space="0"/>
            </w:tcBorders>
            <w:noWrap/>
            <w:tcMar>
              <w:left w:w="108" w:type="dxa"/>
              <w:right w:w="108" w:type="dxa"/>
            </w:tcMar>
            <w:vAlign w:val="center"/>
          </w:tcPr>
          <w:p w14:paraId="4C6F82E3">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电工</w:t>
            </w:r>
          </w:p>
        </w:tc>
        <w:tc>
          <w:tcPr>
            <w:tcW w:w="1444" w:type="dxa"/>
            <w:tcBorders>
              <w:top w:val="single" w:color="auto" w:sz="8" w:space="0"/>
              <w:left w:val="nil"/>
              <w:bottom w:val="single" w:color="auto" w:sz="8" w:space="0"/>
              <w:right w:val="single" w:color="auto" w:sz="8" w:space="0"/>
            </w:tcBorders>
            <w:noWrap/>
            <w:tcMar>
              <w:left w:w="108" w:type="dxa"/>
              <w:right w:w="108" w:type="dxa"/>
            </w:tcMar>
            <w:vAlign w:val="center"/>
          </w:tcPr>
          <w:p w14:paraId="567D17F4">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≥18周岁</w:t>
            </w:r>
          </w:p>
          <w:p w14:paraId="62A78298">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≤50周岁</w:t>
            </w:r>
          </w:p>
        </w:tc>
        <w:tc>
          <w:tcPr>
            <w:tcW w:w="863" w:type="dxa"/>
            <w:tcBorders>
              <w:top w:val="single" w:color="auto" w:sz="8" w:space="0"/>
              <w:left w:val="nil"/>
              <w:bottom w:val="single" w:color="auto" w:sz="8" w:space="0"/>
              <w:right w:val="single" w:color="auto" w:sz="8" w:space="0"/>
            </w:tcBorders>
            <w:noWrap/>
            <w:tcMar>
              <w:left w:w="108" w:type="dxa"/>
              <w:right w:w="108" w:type="dxa"/>
            </w:tcMar>
            <w:vAlign w:val="center"/>
          </w:tcPr>
          <w:p w14:paraId="529BE5F8">
            <w:pPr>
              <w:keepNext w:val="0"/>
              <w:keepLines w:val="0"/>
              <w:pageBreakBefore w:val="0"/>
              <w:widowControl/>
              <w:spacing w:line="360" w:lineRule="auto"/>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男女不限</w:t>
            </w:r>
          </w:p>
        </w:tc>
        <w:tc>
          <w:tcPr>
            <w:tcW w:w="761" w:type="dxa"/>
            <w:tcBorders>
              <w:top w:val="single" w:color="auto" w:sz="8" w:space="0"/>
              <w:left w:val="nil"/>
              <w:bottom w:val="single" w:color="auto" w:sz="8" w:space="0"/>
              <w:right w:val="single" w:color="auto" w:sz="8" w:space="0"/>
            </w:tcBorders>
            <w:noWrap/>
            <w:tcMar>
              <w:left w:w="108" w:type="dxa"/>
              <w:right w:w="108" w:type="dxa"/>
            </w:tcMar>
            <w:vAlign w:val="center"/>
          </w:tcPr>
          <w:p w14:paraId="55AB8586">
            <w:pPr>
              <w:keepNext w:val="0"/>
              <w:keepLines w:val="0"/>
              <w:pageBreakBefore w:val="0"/>
              <w:widowControl/>
              <w:spacing w:line="360" w:lineRule="auto"/>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1人</w:t>
            </w:r>
          </w:p>
        </w:tc>
        <w:tc>
          <w:tcPr>
            <w:tcW w:w="3579" w:type="dxa"/>
            <w:tcBorders>
              <w:top w:val="single" w:color="auto" w:sz="8" w:space="0"/>
              <w:left w:val="nil"/>
              <w:bottom w:val="single" w:color="auto" w:sz="8" w:space="0"/>
              <w:right w:val="single" w:color="auto" w:sz="8" w:space="0"/>
            </w:tcBorders>
            <w:noWrap/>
            <w:tcMar>
              <w:left w:w="108" w:type="dxa"/>
              <w:right w:w="108" w:type="dxa"/>
            </w:tcMar>
            <w:vAlign w:val="center"/>
          </w:tcPr>
          <w:p w14:paraId="3197B695">
            <w:pPr>
              <w:keepNext w:val="0"/>
              <w:keepLines w:val="0"/>
              <w:pageBreakBefore w:val="0"/>
              <w:widowControl/>
              <w:spacing w:line="360" w:lineRule="auto"/>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有敬业和吃苦耐劳精神，</w:t>
            </w:r>
            <w:r>
              <w:rPr>
                <w:rFonts w:hint="eastAsia" w:ascii="宋体" w:hAnsi="宋体" w:cs="宋体"/>
                <w:color w:val="auto"/>
                <w:sz w:val="24"/>
                <w:szCs w:val="24"/>
                <w:highlight w:val="none"/>
                <w:lang w:val="en-US" w:eastAsia="zh-CN"/>
              </w:rPr>
              <w:t>专业。本服务地点出现电路等问题，半小时内到达到本服务地点进行维修。</w:t>
            </w:r>
          </w:p>
        </w:tc>
        <w:tc>
          <w:tcPr>
            <w:tcW w:w="1193" w:type="dxa"/>
            <w:tcBorders>
              <w:top w:val="single" w:color="auto" w:sz="8" w:space="0"/>
              <w:left w:val="nil"/>
              <w:bottom w:val="single" w:color="auto" w:sz="8" w:space="0"/>
              <w:right w:val="single" w:color="auto" w:sz="8" w:space="0"/>
            </w:tcBorders>
            <w:noWrap/>
            <w:tcMar>
              <w:left w:w="108" w:type="dxa"/>
              <w:right w:w="108" w:type="dxa"/>
            </w:tcMar>
            <w:vAlign w:val="center"/>
          </w:tcPr>
          <w:p w14:paraId="74D7C974">
            <w:pPr>
              <w:keepNext w:val="0"/>
              <w:keepLines w:val="0"/>
              <w:pageBreakBefore w:val="0"/>
              <w:widowControl/>
              <w:spacing w:line="360" w:lineRule="auto"/>
              <w:ind w:left="0" w:firstLine="480"/>
              <w:jc w:val="center"/>
              <w:rPr>
                <w:rFonts w:hint="eastAsia" w:ascii="宋体" w:hAnsi="宋体" w:eastAsia="宋体" w:cs="宋体"/>
                <w:color w:val="auto"/>
                <w:sz w:val="24"/>
                <w:szCs w:val="24"/>
                <w:highlight w:val="none"/>
              </w:rPr>
            </w:pPr>
          </w:p>
        </w:tc>
      </w:tr>
    </w:tbl>
    <w:p w14:paraId="68CBFCD9">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本项目为单位内部食堂，不得对外营业。</w:t>
      </w:r>
    </w:p>
    <w:p w14:paraId="61AF989A">
      <w:pPr>
        <w:keepNext w:val="0"/>
        <w:keepLines w:val="0"/>
        <w:pageBreakBefore w:val="0"/>
        <w:widowControl/>
        <w:spacing w:line="360" w:lineRule="auto"/>
        <w:ind w:firstLine="482"/>
        <w:jc w:val="left"/>
        <w:rPr>
          <w:rFonts w:hint="eastAsia" w:ascii="宋体" w:hAnsi="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rPr>
        <w:t>合同履行期限：</w:t>
      </w:r>
      <w:r>
        <w:rPr>
          <w:rFonts w:hint="eastAsia" w:ascii="宋体" w:hAnsi="宋体" w:eastAsia="宋体" w:cs="宋体"/>
          <w:color w:val="auto"/>
          <w:sz w:val="24"/>
          <w:szCs w:val="24"/>
          <w:highlight w:val="none"/>
          <w:lang w:val="zh-CN"/>
        </w:rPr>
        <w:t>一年（365天）（自签订合同生效之日起算）</w:t>
      </w:r>
      <w:r>
        <w:rPr>
          <w:rFonts w:hint="eastAsia" w:ascii="宋体" w:hAnsi="宋体" w:eastAsia="宋体" w:cs="宋体"/>
          <w:color w:val="auto"/>
          <w:sz w:val="24"/>
          <w:szCs w:val="24"/>
          <w:highlight w:val="none"/>
        </w:rPr>
        <w:t>。</w:t>
      </w:r>
    </w:p>
    <w:p w14:paraId="61C3FFA2">
      <w:pPr>
        <w:keepNext w:val="0"/>
        <w:keepLines w:val="0"/>
        <w:pageBreakBefore w:val="0"/>
        <w:widowControl w:val="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四、综合说明及其它要求：</w:t>
      </w:r>
    </w:p>
    <w:p w14:paraId="52F54908">
      <w:pPr>
        <w:keepNext w:val="0"/>
        <w:keepLines w:val="0"/>
        <w:pageBreakBefore w:val="0"/>
        <w:widowControl w:val="0"/>
        <w:tabs>
          <w:tab w:val="left" w:pos="753"/>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1、本项目需二次报价，二次报价为最终报价，磋商响应总报</w:t>
      </w:r>
      <w:r>
        <w:rPr>
          <w:rFonts w:hint="eastAsia" w:ascii="宋体" w:hAnsi="宋体" w:eastAsia="宋体" w:cs="宋体"/>
          <w:bCs/>
          <w:color w:val="auto"/>
          <w:sz w:val="24"/>
          <w:szCs w:val="24"/>
          <w:highlight w:val="none"/>
        </w:rPr>
        <w:t>价包括</w:t>
      </w:r>
      <w:r>
        <w:rPr>
          <w:rFonts w:hint="eastAsia" w:ascii="宋体" w:hAnsi="宋体" w:eastAsia="宋体" w:cs="宋体"/>
          <w:bCs/>
          <w:color w:val="auto"/>
          <w:sz w:val="24"/>
          <w:szCs w:val="24"/>
          <w:highlight w:val="none"/>
          <w:lang w:eastAsia="zh-CN"/>
        </w:rPr>
        <w:t>在服务期内</w:t>
      </w:r>
      <w:r>
        <w:rPr>
          <w:rFonts w:hint="eastAsia" w:ascii="宋体" w:hAnsi="宋体" w:eastAsia="宋体" w:cs="宋体"/>
          <w:bCs/>
          <w:color w:val="auto"/>
          <w:sz w:val="24"/>
          <w:szCs w:val="24"/>
          <w:highlight w:val="none"/>
        </w:rPr>
        <w:t>食材</w:t>
      </w:r>
      <w:r>
        <w:rPr>
          <w:rFonts w:hint="eastAsia" w:ascii="宋体" w:hAnsi="宋体" w:cs="宋体"/>
          <w:color w:val="auto"/>
          <w:sz w:val="24"/>
          <w:szCs w:val="24"/>
          <w:highlight w:val="none"/>
        </w:rPr>
        <w:t>、配料、易耗品、通讯、服装、胸卡、办公设备、各类工具及其他费用、各种税费、人工、保险、劳保、维护、利润、税金、代理服务费、政策性文件规定及合同包含的所有风险、责任等各项应有费用。</w:t>
      </w:r>
      <w:r>
        <w:rPr>
          <w:rFonts w:hint="eastAsia" w:ascii="宋体" w:hAnsi="宋体" w:cs="宋体"/>
          <w:bCs/>
          <w:color w:val="auto"/>
          <w:sz w:val="24"/>
          <w:szCs w:val="24"/>
          <w:highlight w:val="none"/>
        </w:rPr>
        <w:t>除非合同条款中另有规定，否则，合同金额在合同实施期间不因市场因素、政策规定变更因素等任何因素调整。</w:t>
      </w:r>
    </w:p>
    <w:p w14:paraId="3A454B77">
      <w:pPr>
        <w:keepNext w:val="0"/>
        <w:keepLines w:val="0"/>
        <w:pageBreakBefore w:val="0"/>
        <w:widowControl w:val="0"/>
        <w:tabs>
          <w:tab w:val="left" w:pos="42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响应供应商必须承诺采购文件中提出的全部要求，如果其中某些条款不响应时，应在文件中逐条列出，未列出的视同响应。响应供应商必须保证全部响应资料的真实性、准确性、完整性及有效性，如有虚假或对采购文件所要求说明的情况故意隐瞒或虚报，视为未实质性响应采购文件，为无效响应。已成交的将取消成交资格，并按《中华人民共和国政府采购法》第七十七条“提供虚假材料谋取成交、成交”相关处理办法处理。</w:t>
      </w:r>
    </w:p>
    <w:p w14:paraId="190F01BC">
      <w:pPr>
        <w:tabs>
          <w:tab w:val="left" w:pos="420"/>
        </w:tabs>
        <w:spacing w:line="360" w:lineRule="auto"/>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成交单位工作人员在岗履行职责期间(包括上下班途中)，发生自身的人身伤害、伤亡或财产损失，均由成交单位负责处理并承担经济和人道主义上的责任采购方不承担任何责任。成交单位违反国家相关法规，与聘用人员发生纠纷，均由成交单位负责调解与处理，采购单位不承担责任。</w:t>
      </w:r>
    </w:p>
    <w:p w14:paraId="41B8060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对服务缺陷不予更正，</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有权另请其他单位更正，所发生的费用在</w:t>
      </w:r>
      <w:r>
        <w:rPr>
          <w:rFonts w:hint="eastAsia" w:ascii="宋体" w:hAnsi="宋体" w:cs="宋体"/>
          <w:color w:val="auto"/>
          <w:sz w:val="24"/>
          <w:szCs w:val="24"/>
          <w:highlight w:val="none"/>
          <w:lang w:val="en-US" w:eastAsia="zh-CN"/>
        </w:rPr>
        <w:t>服务费用</w:t>
      </w:r>
      <w:r>
        <w:rPr>
          <w:rFonts w:hint="eastAsia" w:ascii="宋体" w:hAnsi="宋体" w:eastAsia="宋体" w:cs="宋体"/>
          <w:color w:val="auto"/>
          <w:sz w:val="24"/>
          <w:szCs w:val="24"/>
          <w:highlight w:val="none"/>
        </w:rPr>
        <w:t>中扣除。</w:t>
      </w:r>
    </w:p>
    <w:p w14:paraId="527F3DA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、如遇</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有重大基建等特殊情况（工作量减少或增加幅度较大时），</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将提前一个月告知</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，合同内容经双方协商调整。</w:t>
      </w:r>
    </w:p>
    <w:p w14:paraId="36CECC8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、需</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配合的工作：</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应在</w:t>
      </w:r>
      <w:r>
        <w:rPr>
          <w:rFonts w:hint="eastAsia" w:ascii="宋体" w:hAnsi="宋体" w:cs="宋体"/>
          <w:color w:val="auto"/>
          <w:sz w:val="24"/>
          <w:szCs w:val="24"/>
          <w:highlight w:val="none"/>
          <w:lang w:eastAsia="zh-CN"/>
        </w:rPr>
        <w:t>响应文件</w:t>
      </w:r>
      <w:r>
        <w:rPr>
          <w:rFonts w:hint="eastAsia" w:ascii="宋体" w:hAnsi="宋体" w:eastAsia="宋体" w:cs="宋体"/>
          <w:color w:val="auto"/>
          <w:sz w:val="24"/>
          <w:szCs w:val="24"/>
          <w:highlight w:val="none"/>
        </w:rPr>
        <w:t>中说明，如能</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，在服务过程中需要</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配合的工作和需要提供的条件，每周菜单需提前提交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相应管理科室确认。</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后需提供人员的劳动合同、社保证明、健康证、体检单（含新型冠状病毒肺炎检测结果）和资格证书（包括厨师证）的原件给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备查，复印件交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留档。</w:t>
      </w:r>
    </w:p>
    <w:p w14:paraId="6C0B44D7">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提供工作服40套：半年更新一次，一次两套。</w:t>
      </w:r>
    </w:p>
    <w:p w14:paraId="68F69E39">
      <w:pPr>
        <w:keepNext w:val="0"/>
        <w:keepLines w:val="0"/>
        <w:pageBreakBefore w:val="0"/>
        <w:spacing w:line="360" w:lineRule="auto"/>
        <w:ind w:left="0" w:right="0"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、需承诺无条件配合</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完成食品经营许可证办理。</w:t>
      </w:r>
    </w:p>
    <w:p w14:paraId="6C3FD46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制定各岗位人员的工作职责、工作流程、操作规范、管理服务标准、现场食品安全标准指导、清洁消毒卫生工作要求等制度。</w:t>
      </w:r>
    </w:p>
    <w:p w14:paraId="0D366900">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在上级部门检查中不合格受到处罚，</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将按照处罚金额的2倍从</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的服务费中扣除；</w:t>
      </w:r>
    </w:p>
    <w:p w14:paraId="7B02F94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每季度进行一次职工伙食满意度测评，如</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测评结果≤70%，一次扣除人民币1500元。</w:t>
      </w:r>
    </w:p>
    <w:p w14:paraId="3C1CFD1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出现较大失误时（如不能及时供应超过规定时间20分钟及以上，人事、管理混乱，安全隐患，制度不健全，进货渠道未按甲方指定供应商供应、送货单据与实物不相符、餐具消毒不达标等），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直接提出书面整改通知，</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承担相关损失，每张整改通知经核实，扣除当月费用的10%。</w:t>
      </w:r>
    </w:p>
    <w:p w14:paraId="28197F7A">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出现严重失误时（食物中毒，用水、电、气安全事故，火灾事故等），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提出解除合同，</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承担相关经济损失的同时扣除整年整个承包费用的10%；并追究</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责任。</w:t>
      </w:r>
    </w:p>
    <w:p w14:paraId="3E2F728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人员不到位、缺岗，按缺岗人数与当月劳务费人员比例扣除。</w:t>
      </w:r>
    </w:p>
    <w:p w14:paraId="1DFA0732">
      <w:pPr>
        <w:keepNext w:val="0"/>
        <w:keepLines w:val="0"/>
        <w:pageBreakBefore w:val="0"/>
        <w:spacing w:line="360" w:lineRule="auto"/>
        <w:ind w:left="0" w:righ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、操作过程中注意节约用水、用电、用气。出现能耗使用过量情况，</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有权追究</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责任</w:t>
      </w:r>
      <w:r>
        <w:rPr>
          <w:rFonts w:hint="eastAsia" w:ascii="宋体" w:hAnsi="宋体" w:cs="宋体"/>
          <w:color w:val="auto"/>
          <w:sz w:val="24"/>
          <w:szCs w:val="24"/>
          <w:highlight w:val="none"/>
          <w:lang w:val="en-US" w:eastAsia="zh-CN"/>
        </w:rPr>
        <w:t>。</w:t>
      </w:r>
    </w:p>
    <w:p w14:paraId="46315BA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、工作场所设施设备、餐具用具出现损坏情况，</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有权要求</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照价赔偿。</w:t>
      </w:r>
    </w:p>
    <w:p w14:paraId="3B9DE9E1">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、每天公布当日进货单复印件，公布于告示栏处，每周全面公示一次；每月进行一次成本核算并公示。</w:t>
      </w:r>
    </w:p>
    <w:p w14:paraId="5C57E107">
      <w:pPr>
        <w:spacing w:line="360" w:lineRule="auto"/>
        <w:ind w:firstLine="480"/>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提供不洁食物造成</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人员食物中毒的，由</w:t>
      </w:r>
      <w:r>
        <w:rPr>
          <w:rFonts w:hint="eastAsia" w:ascii="宋体" w:hAnsi="宋体" w:eastAsia="宋体" w:cs="宋体"/>
          <w:color w:val="auto"/>
          <w:sz w:val="24"/>
          <w:szCs w:val="24"/>
          <w:highlight w:val="none"/>
          <w:lang w:eastAsia="zh-CN"/>
        </w:rPr>
        <w:t>成交人</w:t>
      </w:r>
      <w:r>
        <w:rPr>
          <w:rFonts w:hint="eastAsia" w:ascii="宋体" w:hAnsi="宋体" w:eastAsia="宋体" w:cs="宋体"/>
          <w:color w:val="auto"/>
          <w:sz w:val="24"/>
          <w:szCs w:val="24"/>
          <w:highlight w:val="none"/>
        </w:rPr>
        <w:t>负责赔偿并承担相应的法律后果。</w:t>
      </w:r>
    </w:p>
    <w:p w14:paraId="5EB3A786">
      <w:pPr>
        <w:tabs>
          <w:tab w:val="left" w:pos="420"/>
        </w:tabs>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五、政府采购政策：</w:t>
      </w:r>
    </w:p>
    <w:p w14:paraId="06E112EE">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（一）中小企业相关政策</w:t>
      </w:r>
    </w:p>
    <w:p w14:paraId="715B1350">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w:t>
      </w:r>
    </w:p>
    <w:p w14:paraId="57C8DF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757010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2、在服务采购项目中，服务由小型或微型企业承接，即提供服务的人员为小型或微型企业依照《中华人民共和国民法典》订立劳动合同的从业人员，其报价给予20%的扣除，用扣除后的价格参与价格评审。</w:t>
      </w:r>
    </w:p>
    <w:p w14:paraId="721B108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3、在货物采购项目中，供应商提供的货物既有小型或微型企业制造货物，也有中型或大型企业制造货物的，不享受本办法规定的小微企业价格扶持政策。</w:t>
      </w:r>
    </w:p>
    <w:p w14:paraId="5364CA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4、以联合体形式参加政府采购活动，联合体各方均为中小企业的，联合体视同中小企业。其中，联合体各方均为小微企业的，联合体视同小微企业。</w:t>
      </w:r>
    </w:p>
    <w:p w14:paraId="321AC29B">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5、符合中小企业划分标准的个体工商户，在政府采购活动中视同中小企业。</w:t>
      </w:r>
    </w:p>
    <w:p w14:paraId="6257A9B9">
      <w:pPr>
        <w:widowControl/>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auto"/>
          <w:sz w:val="24"/>
          <w:szCs w:val="24"/>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17B9C6D">
      <w:pPr>
        <w:tabs>
          <w:tab w:val="left" w:pos="420"/>
          <w:tab w:val="left" w:pos="1260"/>
          <w:tab w:val="left" w:pos="1440"/>
        </w:tabs>
        <w:spacing w:line="360" w:lineRule="auto"/>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7、根据《政府采购促进中小企业发展管理办法》（财库〔2020〕46号）及《中小企业划型标准规定》（工信部联企业〔2011〕300号），</w:t>
      </w:r>
      <w:r>
        <w:rPr>
          <w:rFonts w:hint="eastAsia" w:ascii="宋体" w:hAnsi="宋体" w:cs="宋体"/>
          <w:b/>
          <w:color w:val="auto"/>
          <w:sz w:val="24"/>
          <w:szCs w:val="24"/>
          <w:highlight w:val="none"/>
        </w:rPr>
        <w:t>本采购标的对应的中小企业划分标准所属行业为：</w:t>
      </w:r>
      <w:r>
        <w:rPr>
          <w:rFonts w:hint="eastAsia" w:ascii="宋体" w:hAnsi="宋体" w:cs="宋体"/>
          <w:b/>
          <w:color w:val="auto"/>
          <w:sz w:val="24"/>
          <w:szCs w:val="24"/>
          <w:highlight w:val="none"/>
          <w:lang w:val="en-US" w:eastAsia="zh-CN"/>
        </w:rPr>
        <w:t>餐饮</w:t>
      </w:r>
      <w:r>
        <w:rPr>
          <w:rFonts w:hint="eastAsia" w:ascii="宋体" w:hAnsi="宋体" w:cs="宋体"/>
          <w:b/>
          <w:color w:val="auto"/>
          <w:sz w:val="24"/>
          <w:szCs w:val="24"/>
          <w:highlight w:val="none"/>
        </w:rPr>
        <w:t>业。</w:t>
      </w:r>
    </w:p>
    <w:p w14:paraId="42BA7057">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8、残疾人福利性单位</w:t>
      </w:r>
    </w:p>
    <w:p w14:paraId="19F409FB">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419CF882">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9、监狱企业</w:t>
      </w:r>
    </w:p>
    <w:p w14:paraId="38E1C0A4">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p>
    <w:p w14:paraId="14C4A6A1">
      <w:pPr>
        <w:tabs>
          <w:tab w:val="left" w:pos="567"/>
        </w:tabs>
        <w:spacing w:line="360" w:lineRule="auto"/>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10、</w:t>
      </w:r>
      <w:r>
        <w:rPr>
          <w:rFonts w:hint="eastAsia" w:ascii="宋体" w:hAnsi="宋体" w:cs="宋体"/>
          <w:b/>
          <w:bCs/>
          <w:color w:val="auto"/>
          <w:sz w:val="24"/>
          <w:szCs w:val="24"/>
          <w:highlight w:val="none"/>
          <w:lang w:val="en-US" w:eastAsia="zh-CN"/>
        </w:rPr>
        <w:t>本项目为专门面向中小企业采购，将不再享受价格评审加分。</w:t>
      </w:r>
    </w:p>
    <w:p w14:paraId="54FC3A18">
      <w:pPr>
        <w:tabs>
          <w:tab w:val="left" w:pos="567"/>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（二）节能产品和环境标志产品（本项目不涉及）</w:t>
      </w:r>
    </w:p>
    <w:p w14:paraId="38337B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根据《关于调整优化节能产品、环境标志产品政府采购执行机制的通知》（财库〔2019〕9号）、《关于贯彻执行绿色采购、促进残疾人就业和支持监狱企业发展有关政策的通知》（苏财购〔2019〕10号）的文件规定：</w:t>
      </w:r>
    </w:p>
    <w:p w14:paraId="7BC82C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p>
    <w:p w14:paraId="495F145D">
      <w:pPr>
        <w:pBdr>
          <w:top w:val="none" w:color="000000" w:sz="0" w:space="0"/>
          <w:left w:val="none" w:color="000000" w:sz="0" w:space="0"/>
          <w:bottom w:val="none" w:color="000000" w:sz="0" w:space="0"/>
          <w:right w:val="none" w:color="000000" w:sz="0" w:space="0"/>
        </w:pBdr>
        <w:spacing w:line="360" w:lineRule="auto"/>
        <w:ind w:firstLine="480"/>
        <w:rPr>
          <w:color w:val="auto"/>
          <w:highlight w:val="none"/>
        </w:rPr>
      </w:pPr>
      <w:r>
        <w:rPr>
          <w:rFonts w:hint="eastAsia" w:ascii="宋体" w:hAnsi="宋体" w:cs="宋体"/>
          <w:color w:val="auto"/>
          <w:sz w:val="24"/>
          <w:szCs w:val="24"/>
          <w:highlight w:val="none"/>
        </w:rPr>
        <w:t>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p>
    <w:p w14:paraId="74B918CA">
      <w:pPr>
        <w:spacing w:line="360" w:lineRule="auto"/>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六、凡涉及采购文件的补充说明和修改，均以苏州市政府采购网发布的文件为准。</w:t>
      </w:r>
    </w:p>
    <w:p w14:paraId="1B04F07D">
      <w:pPr>
        <w:tabs>
          <w:tab w:val="left" w:pos="8930"/>
          <w:tab w:val="left" w:pos="9306"/>
        </w:tabs>
        <w:spacing w:line="360" w:lineRule="auto"/>
        <w:jc w:val="center"/>
        <w:outlineLvl w:val="0"/>
        <w:rPr>
          <w:rStyle w:val="261"/>
          <w:rFonts w:hint="eastAsia" w:ascii="宋体" w:hAnsi="宋体" w:cs="宋体"/>
          <w:color w:val="auto"/>
          <w:sz w:val="48"/>
          <w:szCs w:val="48"/>
          <w:highlight w:val="none"/>
        </w:rPr>
      </w:pPr>
      <w:r>
        <w:rPr>
          <w:rFonts w:hint="eastAsia" w:ascii="宋体" w:hAnsi="宋体" w:cs="宋体"/>
          <w:b/>
          <w:bCs/>
          <w:color w:val="auto"/>
          <w:szCs w:val="21"/>
          <w:highlight w:val="none"/>
        </w:rPr>
        <w:br w:type="page" w:clear="all"/>
      </w:r>
      <w:bookmarkStart w:id="38" w:name="_Toc31064"/>
      <w:r>
        <w:rPr>
          <w:rFonts w:hint="eastAsia" w:ascii="宋体" w:hAnsi="宋体" w:cs="宋体"/>
          <w:b/>
          <w:bCs/>
          <w:color w:val="auto"/>
          <w:sz w:val="48"/>
          <w:szCs w:val="48"/>
          <w:highlight w:val="none"/>
        </w:rPr>
        <w:t xml:space="preserve">第五章 </w:t>
      </w:r>
      <w:r>
        <w:rPr>
          <w:rStyle w:val="261"/>
          <w:rFonts w:hint="eastAsia" w:ascii="宋体" w:hAnsi="宋体" w:cs="宋体"/>
          <w:color w:val="auto"/>
          <w:sz w:val="48"/>
          <w:szCs w:val="48"/>
          <w:highlight w:val="none"/>
        </w:rPr>
        <w:t>合同主要条款及格式</w:t>
      </w:r>
      <w:bookmarkEnd w:id="38"/>
    </w:p>
    <w:p w14:paraId="533832A8">
      <w:pPr>
        <w:keepNext w:val="0"/>
        <w:keepLines w:val="0"/>
        <w:pageBreakBefore w:val="0"/>
        <w:spacing w:line="360" w:lineRule="auto"/>
        <w:ind w:left="0"/>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项目名称：</w:t>
      </w:r>
      <w:r>
        <w:rPr>
          <w:rFonts w:hint="eastAsia" w:ascii="宋体" w:hAnsi="宋体" w:cs="宋体"/>
          <w:b/>
          <w:color w:val="auto"/>
          <w:sz w:val="24"/>
          <w:szCs w:val="24"/>
          <w:highlight w:val="none"/>
          <w:lang w:val="en-US" w:eastAsia="zh-CN"/>
        </w:rPr>
        <w:t xml:space="preserve"> </w:t>
      </w:r>
    </w:p>
    <w:p w14:paraId="765CEBD0">
      <w:pPr>
        <w:keepNext w:val="0"/>
        <w:keepLines w:val="0"/>
        <w:pageBreakBefore w:val="0"/>
        <w:spacing w:line="360" w:lineRule="auto"/>
        <w:ind w:left="0"/>
        <w:jc w:val="lef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项目编号：</w:t>
      </w:r>
      <w:r>
        <w:rPr>
          <w:rFonts w:hint="eastAsia" w:ascii="宋体" w:hAnsi="宋体" w:cs="宋体"/>
          <w:b/>
          <w:color w:val="auto"/>
          <w:sz w:val="24"/>
          <w:szCs w:val="24"/>
          <w:highlight w:val="none"/>
          <w:lang w:val="en-US" w:eastAsia="zh-CN"/>
        </w:rPr>
        <w:t xml:space="preserve"> </w:t>
      </w:r>
    </w:p>
    <w:p w14:paraId="46ED1928">
      <w:pPr>
        <w:keepNext w:val="0"/>
        <w:keepLines w:val="0"/>
        <w:pageBreakBefore w:val="0"/>
        <w:spacing w:line="360" w:lineRule="auto"/>
        <w:rPr>
          <w:rFonts w:hint="eastAsia" w:ascii="宋体" w:hAnsi="宋体" w:cs="宋体"/>
          <w:color w:val="auto"/>
          <w:sz w:val="24"/>
          <w:szCs w:val="24"/>
          <w:highlight w:val="none"/>
        </w:rPr>
      </w:pPr>
    </w:p>
    <w:p w14:paraId="76AD68E8">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甲方：</w:t>
      </w:r>
    </w:p>
    <w:p w14:paraId="09DC1E74">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p w14:paraId="2133F52F">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p w14:paraId="23B7F571">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p w14:paraId="6B068245">
      <w:pPr>
        <w:keepNext w:val="0"/>
        <w:keepLines w:val="0"/>
        <w:pageBreakBefore w:val="0"/>
        <w:spacing w:line="360" w:lineRule="auto"/>
        <w:ind w:left="0"/>
        <w:jc w:val="left"/>
        <w:rPr>
          <w:rFonts w:hint="eastAsia" w:ascii="宋体" w:hAnsi="宋体" w:cs="宋体"/>
          <w:color w:val="auto"/>
          <w:sz w:val="24"/>
          <w:szCs w:val="24"/>
          <w:highlight w:val="none"/>
        </w:rPr>
      </w:pPr>
    </w:p>
    <w:p w14:paraId="5083ED18">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乙方：</w:t>
      </w:r>
    </w:p>
    <w:p w14:paraId="4855E593">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p w14:paraId="51D662E7">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p w14:paraId="7DDF77BC">
      <w:pPr>
        <w:keepNext w:val="0"/>
        <w:keepLines w:val="0"/>
        <w:pageBreakBefore w:val="0"/>
        <w:spacing w:line="360" w:lineRule="auto"/>
        <w:ind w:left="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p w14:paraId="4B8D1E10">
      <w:pPr>
        <w:keepNext w:val="0"/>
        <w:keepLines w:val="0"/>
        <w:pageBreakBefore w:val="0"/>
        <w:spacing w:line="360" w:lineRule="auto"/>
        <w:ind w:left="0" w:right="0" w:firstLine="480"/>
        <w:rPr>
          <w:rFonts w:hint="eastAsia" w:ascii="宋体" w:hAnsi="宋体" w:eastAsia="宋体" w:cs="宋体"/>
          <w:color w:val="auto"/>
          <w:sz w:val="24"/>
          <w:szCs w:val="24"/>
          <w:highlight w:val="none"/>
        </w:rPr>
      </w:pPr>
    </w:p>
    <w:p w14:paraId="4EF57859">
      <w:pPr>
        <w:keepNext w:val="0"/>
        <w:keepLines w:val="0"/>
        <w:pageBreakBefore w:val="0"/>
        <w:widowControl w:val="0"/>
        <w:tabs>
          <w:tab w:val="left" w:pos="420"/>
          <w:tab w:val="left" w:pos="525"/>
        </w:tabs>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根据</w:t>
      </w:r>
      <w:r>
        <w:rPr>
          <w:rFonts w:hint="eastAsia" w:ascii="宋体" w:hAnsi="宋体" w:cs="宋体"/>
          <w:color w:val="auto"/>
          <w:sz w:val="24"/>
          <w:szCs w:val="24"/>
          <w:highlight w:val="none"/>
          <w:lang w:eastAsia="zh-CN"/>
        </w:rPr>
        <w:t>苏州市诚捷项目管理有限公司</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编号就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号采购文件及该文件的响应文件和成交通知书，甲方和乙方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项目的成交事宜，签订本合同。</w:t>
      </w:r>
    </w:p>
    <w:p w14:paraId="3F09359B">
      <w:pPr>
        <w:pStyle w:val="301"/>
        <w:keepNext w:val="0"/>
        <w:keepLines w:val="0"/>
        <w:pageBreakBefore w:val="0"/>
        <w:spacing w:line="360" w:lineRule="auto"/>
        <w:ind w:left="0" w:firstLine="0"/>
        <w:rPr>
          <w:rFonts w:hint="eastAsia" w:ascii="宋体" w:hAnsi="宋体" w:eastAsia="宋体" w:cs="宋体"/>
          <w:b/>
          <w:color w:val="auto"/>
          <w:sz w:val="24"/>
          <w:szCs w:val="24"/>
          <w:highlight w:val="none"/>
        </w:rPr>
      </w:pPr>
      <w:bookmarkStart w:id="39" w:name="_Toc256179787"/>
      <w:r>
        <w:rPr>
          <w:rFonts w:hint="eastAsia" w:ascii="宋体" w:hAnsi="宋体" w:eastAsia="宋体" w:cs="宋体"/>
          <w:b/>
          <w:color w:val="auto"/>
          <w:sz w:val="24"/>
          <w:szCs w:val="24"/>
          <w:highlight w:val="none"/>
        </w:rPr>
        <w:t>一、合同的标的物</w:t>
      </w:r>
      <w:bookmarkEnd w:id="39"/>
    </w:p>
    <w:p w14:paraId="4905F6B2">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1、服务期限：</w:t>
      </w:r>
      <w:r>
        <w:rPr>
          <w:rFonts w:hint="eastAsia" w:ascii="宋体" w:hAnsi="宋体" w:eastAsia="宋体" w:cs="宋体"/>
          <w:color w:val="auto"/>
          <w:sz w:val="24"/>
          <w:szCs w:val="24"/>
          <w:highlight w:val="none"/>
          <w:lang w:val="zh-CN"/>
        </w:rPr>
        <w:t>一年（365天）（自签订合同生效之日起算）</w:t>
      </w:r>
      <w:r>
        <w:rPr>
          <w:rFonts w:hint="eastAsia" w:ascii="宋体" w:hAnsi="宋体" w:eastAsia="宋体" w:cs="宋体"/>
          <w:color w:val="auto"/>
          <w:sz w:val="24"/>
          <w:szCs w:val="24"/>
          <w:highlight w:val="none"/>
        </w:rPr>
        <w:t>。</w:t>
      </w:r>
    </w:p>
    <w:p w14:paraId="3F83066B">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2、标的物清单：详见附件</w:t>
      </w:r>
    </w:p>
    <w:p w14:paraId="23B3749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3、下列文件为本合同不可分割部分：</w:t>
      </w:r>
    </w:p>
    <w:p w14:paraId="223B49B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1FA342C8">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2DEDF69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w:t>
      </w:r>
    </w:p>
    <w:p w14:paraId="2601E11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（4）乙方在招投标过程中所作的其它承诺、声明、书面澄清等。</w:t>
      </w:r>
    </w:p>
    <w:p w14:paraId="317E5B65">
      <w:pPr>
        <w:pStyle w:val="301"/>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二、合同价格与支付</w:t>
      </w:r>
    </w:p>
    <w:p w14:paraId="54175EF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合同</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总金额为（大写）：人民币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合同单价为早餐套餐单价（大写）：人民币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）；午餐和晚餐套餐单价（大写）：人民币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合同总金额按实际用餐职工数量结算：早餐套餐单价×实际早餐用餐人数+午餐和晚餐套餐单价×实际午餐和晚餐用餐人数。</w:t>
      </w:r>
      <w:r>
        <w:rPr>
          <w:rFonts w:hint="eastAsia" w:ascii="宋体" w:hAnsi="宋体" w:eastAsia="宋体" w:cs="宋体"/>
          <w:color w:val="auto"/>
          <w:sz w:val="24"/>
          <w:szCs w:val="24"/>
          <w:highlight w:val="none"/>
        </w:rPr>
        <w:t>合同价格包括</w:t>
      </w:r>
      <w:r>
        <w:rPr>
          <w:rFonts w:hint="eastAsia" w:ascii="宋体" w:hAnsi="宋体" w:eastAsia="宋体" w:cs="宋体"/>
          <w:bCs/>
          <w:color w:val="auto"/>
          <w:sz w:val="24"/>
          <w:szCs w:val="24"/>
          <w:highlight w:val="none"/>
          <w:lang w:val="zh-TW"/>
        </w:rPr>
        <w:t>在服务期内</w:t>
      </w:r>
      <w:r>
        <w:rPr>
          <w:rFonts w:hint="eastAsia" w:ascii="宋体" w:hAnsi="宋体" w:eastAsia="宋体" w:cs="宋体"/>
          <w:color w:val="auto"/>
          <w:sz w:val="24"/>
          <w:szCs w:val="24"/>
          <w:highlight w:val="none"/>
        </w:rPr>
        <w:t>食材、配料、易耗品、</w:t>
      </w:r>
      <w:r>
        <w:rPr>
          <w:rFonts w:hint="eastAsia" w:ascii="宋体" w:hAnsi="宋体" w:eastAsia="宋体" w:cs="宋体"/>
          <w:bCs/>
          <w:color w:val="auto"/>
          <w:sz w:val="24"/>
          <w:szCs w:val="24"/>
          <w:highlight w:val="none"/>
          <w:lang w:val="zh-TW"/>
        </w:rPr>
        <w:t>通讯、服装、胸卡、办公设备、各类工具及其他费用、各种税费、人工、保险、劳保、维护、利润、税金、政策性文件规定及合同包含的所有风险、责任等各项应有费用。</w:t>
      </w:r>
    </w:p>
    <w:p w14:paraId="03A03DA2">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、用餐人数：早餐总人数约70人，午餐和晚餐总人数约319人。</w:t>
      </w:r>
    </w:p>
    <w:p w14:paraId="3342E3EE">
      <w:pPr>
        <w:keepNext w:val="0"/>
        <w:keepLines w:val="0"/>
        <w:pageBreakBefore w:val="0"/>
        <w:widowControl w:val="0"/>
        <w:numPr>
          <w:ilvl w:val="0"/>
          <w:numId w:val="0"/>
        </w:numPr>
        <w:spacing w:line="360" w:lineRule="auto"/>
        <w:ind w:left="0" w:firstLine="480"/>
        <w:rPr>
          <w:rFonts w:hint="eastAsia" w:ascii="宋体" w:hAnsi="宋体" w:eastAsia="宋体" w:cs="宋体"/>
          <w:color w:val="auto"/>
          <w:sz w:val="24"/>
          <w:szCs w:val="24"/>
          <w:highlight w:val="none"/>
        </w:rPr>
      </w:pPr>
      <w:bookmarkStart w:id="40" w:name="_Toc256179790"/>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付款方式：</w:t>
      </w:r>
    </w:p>
    <w:p w14:paraId="71B702F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（1）支付步骤：①合同签署后15天内支付合同总金额的30%作为预付款；②每月根据实际就餐次数及考核情况进行结算至实际发生合同金额支付完成；</w:t>
      </w:r>
      <w:r>
        <w:rPr>
          <w:rFonts w:hint="eastAsia" w:ascii="宋体" w:hAnsi="宋体" w:cs="宋体"/>
          <w:color w:val="auto"/>
          <w:sz w:val="24"/>
          <w:szCs w:val="24"/>
          <w:highlight w:val="none"/>
          <w:lang w:val="en-US" w:eastAsia="zh-CN"/>
        </w:rPr>
        <w:t>③</w:t>
      </w:r>
      <w:r>
        <w:rPr>
          <w:rFonts w:hint="eastAsia" w:ascii="宋体" w:hAnsi="宋体" w:eastAsia="宋体" w:cs="宋体"/>
          <w:color w:val="auto"/>
          <w:sz w:val="24"/>
          <w:szCs w:val="24"/>
          <w:highlight w:val="none"/>
        </w:rPr>
        <w:t>考核方式详见附件《月度考核表》。考核分值若低于80分，则每低1分，扣除当月用餐总数0.5%的费用。</w:t>
      </w:r>
    </w:p>
    <w:p w14:paraId="71C49752">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（2）在签订合同时，乙方明确表示无需预付款或者主动要求降低预付款比例的，双方协商一致后可变更预付款规定。</w:t>
      </w:r>
    </w:p>
    <w:p w14:paraId="5CDC839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）甲方支付此项费用外不再承担其它任何费用（包括个人），服务人员的薪金、福利、休假日补贴等由乙方付给，与甲方无关。</w:t>
      </w:r>
    </w:p>
    <w:p w14:paraId="6E2EF14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）确因甲方工作需要，乙方应无条件配合甲方完成一些突击工作。如：安排服务人员（内部）临时加班。</w:t>
      </w:r>
    </w:p>
    <w:p w14:paraId="6569B6F0">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、乙方要求付款应提供以下资料：</w:t>
      </w:r>
    </w:p>
    <w:p w14:paraId="3EBE8CA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（1）合格的发票。</w:t>
      </w:r>
    </w:p>
    <w:p w14:paraId="504EE14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（2）由甲乙双方及采购代理机构签章的《履行验收报告》。</w:t>
      </w:r>
    </w:p>
    <w:p w14:paraId="4633116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、支付方式：银行汇票或转账。</w:t>
      </w:r>
    </w:p>
    <w:p w14:paraId="66867C1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、根据现行税法对甲方征收的与本合同有关的一切税费均由甲方承担；根据现行税法对乙方征收的与本合同有关的一切税费均由乙方承担。</w:t>
      </w:r>
      <w:bookmarkEnd w:id="40"/>
    </w:p>
    <w:p w14:paraId="62BF22B1">
      <w:pPr>
        <w:keepNext w:val="0"/>
        <w:keepLines w:val="0"/>
        <w:pageBreakBefore w:val="0"/>
        <w:spacing w:line="360" w:lineRule="auto"/>
        <w:ind w:left="0" w:firstLine="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三、双方责任</w:t>
      </w:r>
    </w:p>
    <w:p w14:paraId="1E94BA2D">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1、甲方责任</w:t>
      </w:r>
    </w:p>
    <w:p w14:paraId="2AC7CFD2">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（1）甲方按照双方约定的付款方式，按时支付合同期限内服务费用给乙方。</w:t>
      </w:r>
    </w:p>
    <w:p w14:paraId="4C1671A5">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（2）甲方应提供必要的厨房设备、水电气等设施设备。</w:t>
      </w:r>
    </w:p>
    <w:p w14:paraId="2BCCAD39">
      <w:pPr>
        <w:pStyle w:val="269"/>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（3）职工就餐餐具由甲方提供，每季度损耗在2%以内的由甲方承担，超出部分由乙方承担。</w:t>
      </w:r>
    </w:p>
    <w:p w14:paraId="79AB9BE0">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）甲方因特殊原因更改或增加就餐人员，需提前一个工作日书面或电话知会乙方。</w:t>
      </w:r>
    </w:p>
    <w:p w14:paraId="039F3B2A">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）任何时候不得要求乙方从事违反国家相关法律法规的行为。</w:t>
      </w:r>
    </w:p>
    <w:p w14:paraId="6678562F">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2、乙方责任</w:t>
      </w:r>
    </w:p>
    <w:p w14:paraId="767BD0F4">
      <w:pPr>
        <w:pStyle w:val="269"/>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（1）所有食堂工作人员必须附与乙方签订的劳动合同和连续社保记录；</w:t>
      </w:r>
    </w:p>
    <w:p w14:paraId="402A74A7">
      <w:pPr>
        <w:pStyle w:val="269"/>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（2）乙方必须提供所有食堂工作人员的健康证和相关体检证明</w:t>
      </w:r>
      <w:r>
        <w:rPr>
          <w:rFonts w:hint="eastAsia" w:ascii="宋体" w:hAnsi="宋体" w:eastAsia="宋体" w:cs="宋体"/>
          <w:color w:val="auto"/>
          <w:sz w:val="24"/>
          <w:szCs w:val="24"/>
          <w:highlight w:val="none"/>
        </w:rPr>
        <w:t>（含新型冠状病毒肺炎检测结果）</w:t>
      </w:r>
      <w:r>
        <w:rPr>
          <w:rFonts w:hint="eastAsia" w:ascii="宋体" w:hAnsi="宋体" w:eastAsia="宋体" w:cs="宋体"/>
          <w:bCs/>
          <w:color w:val="auto"/>
          <w:sz w:val="24"/>
          <w:szCs w:val="24"/>
          <w:highlight w:val="none"/>
        </w:rPr>
        <w:t>、资格证书</w:t>
      </w:r>
      <w:r>
        <w:rPr>
          <w:rFonts w:hint="eastAsia" w:ascii="宋体" w:hAnsi="宋体" w:eastAsia="宋体" w:cs="宋体"/>
          <w:color w:val="auto"/>
          <w:sz w:val="24"/>
          <w:szCs w:val="24"/>
          <w:highlight w:val="none"/>
        </w:rPr>
        <w:t>（包括厨师证等）的原件给甲方备查，复印件交甲方留档</w:t>
      </w:r>
      <w:r>
        <w:rPr>
          <w:rFonts w:hint="eastAsia" w:ascii="宋体" w:hAnsi="宋体" w:eastAsia="宋体" w:cs="宋体"/>
          <w:bCs/>
          <w:color w:val="auto"/>
          <w:sz w:val="24"/>
          <w:szCs w:val="24"/>
          <w:highlight w:val="none"/>
        </w:rPr>
        <w:t>；</w:t>
      </w:r>
    </w:p>
    <w:p w14:paraId="3A8995D3">
      <w:pPr>
        <w:pStyle w:val="269"/>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（3）乙方所有食堂工作人员必须常驻浒墅关经济技术开发区派出所食堂，不得兼职，无故不得离开；</w:t>
      </w:r>
    </w:p>
    <w:p w14:paraId="0412D59B">
      <w:pPr>
        <w:pStyle w:val="269"/>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（4）乙方更换工作人员必须提前与浒墅关经济技术开发区派出所报备，不得随意安排其他非食堂工作人员前来工作。</w:t>
      </w:r>
    </w:p>
    <w:p w14:paraId="6FCA253B">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（5）乙方负责食堂的经营管理，具体包括食堂人事、管理、菜肴的搭配与制作、就餐环境卫生、服务等。</w:t>
      </w:r>
    </w:p>
    <w:p w14:paraId="6A8157F9">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（6）乙方必须遵守国家和苏州有关环境和食品卫生的标准。严禁供应腐烂变质的食品，保持菜肴的新鲜和卫生。</w:t>
      </w:r>
    </w:p>
    <w:p w14:paraId="663B87A0">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（7）乙方必须按时供应甲方每日各餐，做到新鲜可口、花样翻新、营养搭配好。</w:t>
      </w:r>
    </w:p>
    <w:p w14:paraId="4C6799CF">
      <w:pPr>
        <w:pStyle w:val="269"/>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乙方须尽心管理甲方提供的餐厅现有基础设施场地、细心维护甲方设施设备，及时报修受损物品，正常使用过程中损坏维修或更换涉及费用，由甲方承担，因乙方人为因素导致的受损，涉及费用由乙方承担。更换设备和线路维修安装要提前向甲方报备，不得随意更换、新增设备和安排人员进场施工，防止发生安全隐患。乙方定期清理泔脚、疏通下水道、定期清洗油烟排放系统（每季度一次）、清洁消毒等，做好日常运营管理工作，乙方应每日有专人负责清理每日泔水，此项费用甲方不再另行支付。</w:t>
      </w:r>
    </w:p>
    <w:p w14:paraId="1D36B1BD">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（9）餐后认真清洗餐具并做好消毒工作，食堂内部、用餐大厅环境卫生全面清洁整理。经常清理食堂内外水池、下水道，确保畅通。每天清理灶台及炊事用品污垢，保持干净整洁。</w:t>
      </w:r>
    </w:p>
    <w:p w14:paraId="7C542D40">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（10）做好消除蚊、蝇、蟑、鼠害。</w:t>
      </w:r>
    </w:p>
    <w:p w14:paraId="757A48AE">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（11）冰柜定期清理、除霜、消除异味、生熟物品分开存放，符合卫生要求。</w:t>
      </w:r>
    </w:p>
    <w:p w14:paraId="1D02A2D2">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w:t>
      </w:r>
      <w:r>
        <w:rPr>
          <w:rFonts w:hint="eastAsia" w:ascii="宋体" w:hAnsi="宋体" w:eastAsia="宋体" w:cs="宋体"/>
          <w:color w:val="auto"/>
          <w:sz w:val="24"/>
          <w:szCs w:val="24"/>
          <w:highlight w:val="none"/>
        </w:rPr>
        <w:t>食品制作及加工程序必须符合国家卫生标准。乙方供应给甲方的食物必须每天留样，并保存于冰箱48小时以备查验。甲方有权不定时检查乙方的生产场地，并就发现的问题要求乙方整改。甲方有权不定时检查食材进货凭证和新鲜度、仓库物品出入库记录，并就发现的问题要求乙方整改。</w:t>
      </w:r>
    </w:p>
    <w:p w14:paraId="493F665A">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（13）乙方员工应遵守甲方各项规章制度和安全、食品卫生操作规范。</w:t>
      </w:r>
    </w:p>
    <w:p w14:paraId="48B5EF59">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（14）如遇到上级部门对职工食堂卫生、安全、垃圾分类检查等进行检查，被扣分的情况，处罚的费用由乙方承担。</w:t>
      </w:r>
    </w:p>
    <w:p w14:paraId="10AB2DB5">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（15）严格落实消防各项安全措施，每日进行安全自查；定期进行员工安全教育和消防知识技能培训，做好记录；因乙方原因造成安全事故，一切由乙方承担。</w:t>
      </w:r>
    </w:p>
    <w:p w14:paraId="6E63F360">
      <w:pPr>
        <w:keepNext w:val="0"/>
        <w:keepLines w:val="0"/>
        <w:pageBreakBefore w:val="0"/>
        <w:widowControl/>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（16）乙方在每周星期四前草拟出下周菜单送甲方审阅，周五公布以征求甲方职工意见，如甲方职工对菜式不满，提前二天通知乙方更换，乙方须尽力解决，若因客观原因不能更改，乙方须立即反馈给甲方。</w:t>
      </w:r>
    </w:p>
    <w:p w14:paraId="01A4824A">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（17）</w:t>
      </w:r>
      <w:r>
        <w:rPr>
          <w:rFonts w:hint="eastAsia" w:ascii="宋体" w:hAnsi="宋体" w:eastAsia="宋体" w:cs="宋体"/>
          <w:color w:val="auto"/>
          <w:sz w:val="24"/>
          <w:szCs w:val="24"/>
          <w:highlight w:val="none"/>
        </w:rPr>
        <w:t>乙方负责采购食品原材料及配料等素材，所采购食品素材须有品牌、保证品质，禁止使用“三无”产品、地沟油、转基因油等不合格原料，每周内半成品、冰冻品和腌制品作为菜色不得超过两次。每日由厨师长开具食品素材及用量清单，确保所采购的食品素材新鲜、安全、卫生，并对采购的食品素材质量负责。所用食物原材料、烹饪原料需有指定的供货商且供货商名录需提供给甲方备案。</w:t>
      </w:r>
    </w:p>
    <w:p w14:paraId="49F9676E">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（18）乙方每天公布当日进货单复印件，公布于告示栏处，每周全面公示一次；每月进行一次成本核算并公示。</w:t>
      </w:r>
    </w:p>
    <w:p w14:paraId="7B25F388">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（19）乙方提供工作服40套：半年更新一次，一次两套。</w:t>
      </w:r>
    </w:p>
    <w:p w14:paraId="5F047A2B">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（20）乙方须无条件配合甲方完成食品经营许可证办理。</w:t>
      </w:r>
    </w:p>
    <w:p w14:paraId="7CF838FF">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四、合同生效及其它</w:t>
      </w:r>
    </w:p>
    <w:p w14:paraId="677518F5">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1、合同经甲乙双方</w:t>
      </w:r>
      <w:r>
        <w:rPr>
          <w:rFonts w:hint="eastAsia" w:ascii="宋体" w:hAnsi="宋体" w:eastAsia="宋体" w:cs="宋体"/>
          <w:bCs/>
          <w:color w:val="auto"/>
          <w:sz w:val="24"/>
          <w:szCs w:val="24"/>
          <w:highlight w:val="none"/>
        </w:rPr>
        <w:t>法定代表人或授权代理人签字（或盖章），</w:t>
      </w:r>
      <w:r>
        <w:rPr>
          <w:rFonts w:hint="eastAsia" w:ascii="宋体" w:hAnsi="宋体" w:eastAsia="宋体" w:cs="宋体"/>
          <w:color w:val="auto"/>
          <w:sz w:val="24"/>
          <w:szCs w:val="24"/>
          <w:highlight w:val="none"/>
        </w:rPr>
        <w:t>加盖公章（或合同章）</w:t>
      </w:r>
      <w:r>
        <w:rPr>
          <w:rFonts w:hint="eastAsia" w:ascii="宋体" w:hAnsi="宋体" w:eastAsia="宋体" w:cs="宋体"/>
          <w:bCs/>
          <w:color w:val="auto"/>
          <w:sz w:val="24"/>
          <w:szCs w:val="24"/>
          <w:highlight w:val="none"/>
        </w:rPr>
        <w:t>后生效。</w:t>
      </w:r>
    </w:p>
    <w:p w14:paraId="7482BF23">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在执行过程中出现的未尽事宜，双方在不违背本合同和招标文件的原则下协商解决，协商结果以书面形式盖章记录在案，经政府采购监督管理部门备案后作为本合同的附件，与本合同具有同等效力，但需向</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提交</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rPr>
        <w:t>份备存。</w:t>
      </w:r>
    </w:p>
    <w:p w14:paraId="14A47861">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五、违约责任</w:t>
      </w:r>
    </w:p>
    <w:p w14:paraId="6B910D2C">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1、甲方违约责任</w:t>
      </w:r>
    </w:p>
    <w:p w14:paraId="1F3A97AE">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（1）在合同生效后，甲方无理由要求终止服务的，应向乙方偿付合同总价款的5%，作为违约金，违约金不足以补偿损失的，乙方有权要求甲方补足。</w:t>
      </w:r>
    </w:p>
    <w:p w14:paraId="34210D6C">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（2）甲方逾期付款的应按照逾期付款金额的每天万分之四支付逾期付款违约金。</w:t>
      </w:r>
    </w:p>
    <w:p w14:paraId="388C6B8E">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（3）甲方违反合同规定，拒绝接收乙方交付的服务，应当承担乙方由此造成的损失。</w:t>
      </w:r>
    </w:p>
    <w:p w14:paraId="6A10BF2F">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2、乙方违约责任</w:t>
      </w:r>
    </w:p>
    <w:p w14:paraId="0D0B948A">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（1）乙方不能提供服务的，或服务不合格从而影响甲方按期正常使用的，应向甲方偿付合同总价款5%的违约金，违约金不足以补偿损失的甲方有权要求乙方补足。</w:t>
      </w:r>
    </w:p>
    <w:p w14:paraId="3363324D">
      <w:pPr>
        <w:keepNext w:val="0"/>
        <w:keepLines w:val="0"/>
        <w:pageBreakBefore w:val="0"/>
        <w:widowControl/>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（2）乙方逾期提供服务的，应与甲方和政府采购管理部门协商，甲方仍需求的，乙方应立即提供服务按照逾期服务的每天万分之四支付逾期违约金，同时承担甲方因此遭致的损失费用。</w:t>
      </w:r>
    </w:p>
    <w:p w14:paraId="74DCBDBB">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六、赔偿责任</w:t>
      </w:r>
    </w:p>
    <w:p w14:paraId="0AB26B00">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1、乙方在上级部门检查中不合格受到处罚，甲方将按照处罚金额的2倍从乙方的服务费中扣除；</w:t>
      </w:r>
    </w:p>
    <w:p w14:paraId="1682D9B6">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2、甲方每季度进行一次职工伙食满意度测评，如乙方测评结果≤70%，一次扣除人民币1500元。</w:t>
      </w:r>
    </w:p>
    <w:p w14:paraId="3BAF736D">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出现较大失误时（如不能及时供应超过规定时间20分钟及以上，人事、管理混乱，安全隐患，制度不健全，进货渠道未按甲方指定供应商供应、送货单据与实物不相符、餐具消毒不达标等），甲方直接提出书面整改通知，乙方承担相关损失，每张整改通知经核实，扣除当月费用的10%。</w:t>
      </w:r>
    </w:p>
    <w:p w14:paraId="1D478ECA">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4、乙方出现严重失误时（食物中毒，用水、电、气安全事故，火灾事故等），甲方提出解除合同，乙方承担相关经济损失的同时扣除整年整个承包费用的10%；并追究乙方责任。</w:t>
      </w:r>
    </w:p>
    <w:p w14:paraId="0B5873A0">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5、乙方人员不到位、缺岗，按缺岗人数与当月劳务费人员比例扣除。</w:t>
      </w:r>
    </w:p>
    <w:p w14:paraId="35E5B0D8">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6、操作过程中注意节约用水、用电、用气。出现能耗使用过量情况，甲方有权追究乙方责任。</w:t>
      </w:r>
    </w:p>
    <w:p w14:paraId="56872B5D">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7、工作场所设施设备、餐具用具因乙方工作人员非正常使用，故意导致的损坏情况，甲方有权要求乙方照价赔偿。</w:t>
      </w:r>
    </w:p>
    <w:p w14:paraId="7F3D03D1">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8、因乙方提供不洁食物造成甲方人员食物中毒的，由乙方负责赔偿并承担相应的法律后果。</w:t>
      </w:r>
    </w:p>
    <w:p w14:paraId="3A6856A0">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、不可抗力</w:t>
      </w:r>
    </w:p>
    <w:p w14:paraId="3647C061">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1、因不可抗力不能履行合同的，根据不可抗力的影响，部分或者全部免除责任。但合同一方延迟履行后发生不可抗力的，不能免除责任。</w:t>
      </w:r>
    </w:p>
    <w:p w14:paraId="622D9840">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2、合同一方因不可抗力不能履行合同的，应当及时通知对方，以减轻可能给对方造成的损失，并应当在合理期限内提供证明。</w:t>
      </w:r>
    </w:p>
    <w:p w14:paraId="33F80506">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、合同的解除和转让</w:t>
      </w:r>
    </w:p>
    <w:p w14:paraId="5CFAE086">
      <w:pPr>
        <w:keepNext w:val="0"/>
        <w:keepLines w:val="0"/>
        <w:pageBreakBefore w:val="0"/>
        <w:widowControl/>
        <w:spacing w:line="360" w:lineRule="auto"/>
        <w:ind w:left="0"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1、有下列情形之一，合同一方可以解除合同：</w:t>
      </w:r>
    </w:p>
    <w:p w14:paraId="687284B6">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因不可抗力致使不能实现合同目的，未受不可抗力影响的一方有权解除合同；</w:t>
      </w:r>
    </w:p>
    <w:p w14:paraId="26264AEA">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因合同一方违约导致合同不能履行，另一方有权解除合同并按招标文件及合同要求赔偿甲方损失（如</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后一个月内不能提供合格产品等）；</w:t>
      </w:r>
    </w:p>
    <w:p w14:paraId="11BB440E">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有权解除合同的一方，应当在违约事实或不可抗力发生之后三十天内书面通知对方以主张解除合同，合同在书面通知到达对方时解除。</w:t>
      </w:r>
    </w:p>
    <w:p w14:paraId="0968048E">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、合同的部分和全部都不得转让。</w:t>
      </w:r>
    </w:p>
    <w:p w14:paraId="07F1F4C6">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、争议的解决</w:t>
      </w:r>
    </w:p>
    <w:p w14:paraId="762740ED">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甲乙双方因合同发生争议，应在</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的主持下进行调解，协商不成，任何一方可以向甲方所在地人民法院起诉。</w:t>
      </w:r>
    </w:p>
    <w:p w14:paraId="749E52D6">
      <w:pPr>
        <w:keepNext w:val="0"/>
        <w:keepLines w:val="0"/>
        <w:pageBreakBefore w:val="0"/>
        <w:spacing w:line="360" w:lineRule="auto"/>
        <w:ind w:left="0"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、附则</w:t>
      </w:r>
    </w:p>
    <w:p w14:paraId="616DD801">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合同份数：本合同一式</w:t>
      </w:r>
      <w:r>
        <w:rPr>
          <w:rFonts w:hint="eastAsia" w:ascii="宋体" w:hAnsi="宋体" w:cs="宋体"/>
          <w:color w:val="auto"/>
          <w:sz w:val="24"/>
          <w:szCs w:val="24"/>
          <w:highlight w:val="none"/>
          <w:lang w:val="en-US" w:eastAsia="zh-CN"/>
        </w:rPr>
        <w:t>伍</w:t>
      </w:r>
      <w:r>
        <w:rPr>
          <w:rFonts w:hint="eastAsia" w:ascii="宋体" w:hAnsi="宋体" w:eastAsia="宋体" w:cs="宋体"/>
          <w:color w:val="auto"/>
          <w:sz w:val="24"/>
          <w:szCs w:val="24"/>
          <w:highlight w:val="none"/>
        </w:rPr>
        <w:t>份，甲、乙双方各执</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rPr>
        <w:t>份，采购代理机构</w:t>
      </w:r>
      <w:r>
        <w:rPr>
          <w:rFonts w:hint="eastAsia" w:ascii="宋体" w:hAnsi="宋体" w:cs="宋体"/>
          <w:color w:val="auto"/>
          <w:sz w:val="24"/>
          <w:szCs w:val="24"/>
          <w:highlight w:val="none"/>
          <w:lang w:val="en-US" w:eastAsia="zh-CN"/>
        </w:rPr>
        <w:t>壹</w:t>
      </w:r>
      <w:r>
        <w:rPr>
          <w:rFonts w:hint="eastAsia" w:ascii="宋体" w:hAnsi="宋体" w:eastAsia="宋体" w:cs="宋体"/>
          <w:color w:val="auto"/>
          <w:sz w:val="24"/>
          <w:szCs w:val="24"/>
          <w:highlight w:val="none"/>
        </w:rPr>
        <w:t>份。</w:t>
      </w:r>
    </w:p>
    <w:p w14:paraId="65D32779">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本合同文件使用中文书写、解释和说明。</w:t>
      </w:r>
    </w:p>
    <w:p w14:paraId="2E5C6A25">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本合同履行过程中产生的纪要、协议以及成交通知书、投标书和招标文件为本合同的附件，与合同具有同等效力。</w:t>
      </w:r>
    </w:p>
    <w:p w14:paraId="164FE041">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4、未尽事宜</w:t>
      </w:r>
    </w:p>
    <w:p w14:paraId="133F25E9">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本合同未尽事宜应按照《中华人民共和国</w:t>
      </w:r>
      <w:r>
        <w:rPr>
          <w:rFonts w:hint="eastAsia" w:ascii="宋体" w:hAnsi="宋体" w:eastAsia="宋体" w:cs="宋体"/>
          <w:color w:val="auto"/>
          <w:sz w:val="24"/>
          <w:szCs w:val="24"/>
          <w:highlight w:val="none"/>
          <w:lang w:val="en-US" w:eastAsia="zh-CN"/>
        </w:rPr>
        <w:t>民法典</w:t>
      </w:r>
      <w:r>
        <w:rPr>
          <w:rFonts w:hint="eastAsia" w:ascii="宋体" w:hAnsi="宋体" w:eastAsia="宋体" w:cs="宋体"/>
          <w:color w:val="auto"/>
          <w:sz w:val="24"/>
          <w:szCs w:val="24"/>
          <w:highlight w:val="none"/>
        </w:rPr>
        <w:t>》、《中华人民共和国产品质量法》、《中华人民共和国政府采购法》之规定解释。</w:t>
      </w:r>
    </w:p>
    <w:p w14:paraId="0434B7E5">
      <w:pPr>
        <w:keepNext w:val="0"/>
        <w:keepLines w:val="0"/>
        <w:pageBreakBefore w:val="0"/>
        <w:spacing w:line="360" w:lineRule="auto"/>
        <w:ind w:left="0" w:firstLine="480"/>
        <w:rPr>
          <w:rFonts w:hint="eastAsia" w:ascii="宋体" w:hAnsi="宋体" w:eastAsia="宋体" w:cs="宋体"/>
          <w:color w:val="auto"/>
          <w:sz w:val="24"/>
          <w:szCs w:val="24"/>
          <w:highlight w:val="none"/>
        </w:rPr>
      </w:pPr>
    </w:p>
    <w:p w14:paraId="7CFC299A">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              </w:t>
      </w:r>
    </w:p>
    <w:p w14:paraId="217A3BB2">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               法定代表人或代理人(签字)：                          </w:t>
      </w:r>
    </w:p>
    <w:p w14:paraId="1352E64F">
      <w:pPr>
        <w:keepNext w:val="0"/>
        <w:keepLines w:val="0"/>
        <w:pageBreakBefore w:val="0"/>
        <w:widowControl/>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  </w:t>
      </w:r>
    </w:p>
    <w:p w14:paraId="10A0C0A3">
      <w:pPr>
        <w:keepNext w:val="0"/>
        <w:keepLines w:val="0"/>
        <w:pageBreakBefore w:val="0"/>
        <w:widowControl/>
        <w:spacing w:line="360" w:lineRule="auto"/>
        <w:ind w:left="0" w:firstLine="480"/>
        <w:jc w:val="center"/>
        <w:rPr>
          <w:rFonts w:hint="eastAsia" w:ascii="宋体" w:hAnsi="宋体" w:eastAsia="宋体" w:cs="宋体"/>
          <w:color w:val="auto"/>
          <w:sz w:val="24"/>
          <w:szCs w:val="24"/>
          <w:highlight w:val="none"/>
        </w:rPr>
      </w:pPr>
    </w:p>
    <w:p w14:paraId="1749EE86">
      <w:pPr>
        <w:keepNext w:val="0"/>
        <w:keepLines w:val="0"/>
        <w:pageBreakBefore w:val="0"/>
        <w:spacing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69BC72B1">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附件1：月度考核表</w:t>
      </w:r>
    </w:p>
    <w:p w14:paraId="69588A36">
      <w:pPr>
        <w:pStyle w:val="269"/>
        <w:keepNext w:val="0"/>
        <w:keepLines w:val="0"/>
        <w:pageBreakBefore w:val="0"/>
        <w:spacing w:line="360" w:lineRule="auto"/>
        <w:ind w:left="0" w:right="0" w:firstLine="19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被考核单位：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考核日期：</w:t>
      </w:r>
      <w:r>
        <w:rPr>
          <w:rFonts w:hint="eastAsia" w:ascii="宋体" w:hAnsi="宋体" w:eastAsia="宋体" w:cs="宋体"/>
          <w:color w:val="auto"/>
          <w:sz w:val="24"/>
          <w:szCs w:val="24"/>
          <w:highlight w:val="none"/>
          <w:u w:val="single"/>
        </w:rPr>
        <w:t xml:space="preserve">               </w:t>
      </w:r>
    </w:p>
    <w:p w14:paraId="2B93DDEC">
      <w:pPr>
        <w:pStyle w:val="269"/>
        <w:keepNext w:val="0"/>
        <w:keepLines w:val="0"/>
        <w:pageBreakBefore w:val="0"/>
        <w:spacing w:line="360" w:lineRule="auto"/>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考核部门签字：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被考核单位签字：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bl>
      <w:tblPr>
        <w:tblStyle w:val="38"/>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541"/>
        <w:gridCol w:w="974"/>
        <w:gridCol w:w="5463"/>
        <w:gridCol w:w="1078"/>
        <w:gridCol w:w="840"/>
      </w:tblGrid>
      <w:tr w14:paraId="7D717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541" w:type="dxa"/>
            <w:noWrap w:val="0"/>
            <w:vAlign w:val="center"/>
          </w:tcPr>
          <w:p w14:paraId="2807979F">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一级</w:t>
            </w:r>
          </w:p>
          <w:p w14:paraId="1829D51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w:t>
            </w:r>
          </w:p>
        </w:tc>
        <w:tc>
          <w:tcPr>
            <w:tcW w:w="541" w:type="dxa"/>
            <w:noWrap w:val="0"/>
            <w:vAlign w:val="center"/>
          </w:tcPr>
          <w:p w14:paraId="27BFD75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974" w:type="dxa"/>
            <w:noWrap w:val="0"/>
            <w:vAlign w:val="center"/>
          </w:tcPr>
          <w:p w14:paraId="2D9104D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二级</w:t>
            </w:r>
          </w:p>
          <w:p w14:paraId="43501C8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指标</w:t>
            </w:r>
          </w:p>
        </w:tc>
        <w:tc>
          <w:tcPr>
            <w:tcW w:w="5463" w:type="dxa"/>
            <w:noWrap w:val="0"/>
            <w:vAlign w:val="center"/>
          </w:tcPr>
          <w:p w14:paraId="08D7EAC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评估内容</w:t>
            </w:r>
          </w:p>
        </w:tc>
        <w:tc>
          <w:tcPr>
            <w:tcW w:w="1078" w:type="dxa"/>
            <w:noWrap w:val="0"/>
            <w:vAlign w:val="center"/>
          </w:tcPr>
          <w:p w14:paraId="7495419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840" w:type="dxa"/>
            <w:noWrap w:val="0"/>
            <w:vAlign w:val="center"/>
          </w:tcPr>
          <w:p w14:paraId="7749147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w:t>
            </w:r>
          </w:p>
        </w:tc>
      </w:tr>
      <w:tr w14:paraId="47928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541" w:type="dxa"/>
            <w:vMerge w:val="restart"/>
            <w:noWrap w:val="0"/>
            <w:textDirection w:val="tbRlV"/>
            <w:vAlign w:val="center"/>
          </w:tcPr>
          <w:p w14:paraId="2AD8FEB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设备设施</w:t>
            </w:r>
          </w:p>
        </w:tc>
        <w:tc>
          <w:tcPr>
            <w:tcW w:w="541" w:type="dxa"/>
            <w:vMerge w:val="restart"/>
            <w:noWrap w:val="0"/>
            <w:vAlign w:val="center"/>
          </w:tcPr>
          <w:p w14:paraId="0569A0B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8分</w:t>
            </w:r>
          </w:p>
        </w:tc>
        <w:tc>
          <w:tcPr>
            <w:tcW w:w="974" w:type="dxa"/>
            <w:noWrap w:val="0"/>
            <w:vAlign w:val="center"/>
          </w:tcPr>
          <w:p w14:paraId="6E5FE36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规范使用</w:t>
            </w:r>
          </w:p>
        </w:tc>
        <w:tc>
          <w:tcPr>
            <w:tcW w:w="5463" w:type="dxa"/>
            <w:noWrap w:val="0"/>
            <w:vAlign w:val="center"/>
          </w:tcPr>
          <w:p w14:paraId="37314C31">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科学规范的使用现有设施设备，确保设备正常运行。</w:t>
            </w:r>
          </w:p>
        </w:tc>
        <w:tc>
          <w:tcPr>
            <w:tcW w:w="1078" w:type="dxa"/>
            <w:noWrap w:val="0"/>
            <w:vAlign w:val="center"/>
          </w:tcPr>
          <w:p w14:paraId="1F79BAE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w:t>
            </w:r>
          </w:p>
        </w:tc>
        <w:tc>
          <w:tcPr>
            <w:tcW w:w="840" w:type="dxa"/>
            <w:noWrap w:val="0"/>
            <w:vAlign w:val="top"/>
          </w:tcPr>
          <w:p w14:paraId="63E8976F">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1B63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541" w:type="dxa"/>
            <w:vMerge w:val="continue"/>
            <w:noWrap w:val="0"/>
            <w:vAlign w:val="center"/>
          </w:tcPr>
          <w:p w14:paraId="25D7313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774A70C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481D47D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维护与保养</w:t>
            </w:r>
          </w:p>
        </w:tc>
        <w:tc>
          <w:tcPr>
            <w:tcW w:w="5463" w:type="dxa"/>
            <w:noWrap w:val="0"/>
            <w:vAlign w:val="center"/>
          </w:tcPr>
          <w:p w14:paraId="5122927F">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定期对设施设备、餐具用具进行消毒和保洁。</w:t>
            </w:r>
          </w:p>
        </w:tc>
        <w:tc>
          <w:tcPr>
            <w:tcW w:w="1078" w:type="dxa"/>
            <w:noWrap w:val="0"/>
            <w:vAlign w:val="center"/>
          </w:tcPr>
          <w:p w14:paraId="6F66BC0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w:t>
            </w:r>
          </w:p>
        </w:tc>
        <w:tc>
          <w:tcPr>
            <w:tcW w:w="840" w:type="dxa"/>
            <w:noWrap w:val="0"/>
            <w:vAlign w:val="top"/>
          </w:tcPr>
          <w:p w14:paraId="2E62103F">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17D6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41" w:type="dxa"/>
            <w:vMerge w:val="continue"/>
            <w:noWrap w:val="0"/>
            <w:vAlign w:val="center"/>
          </w:tcPr>
          <w:p w14:paraId="4B15481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77BD663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1A04DDE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协调沟通</w:t>
            </w:r>
          </w:p>
        </w:tc>
        <w:tc>
          <w:tcPr>
            <w:tcW w:w="5463" w:type="dxa"/>
            <w:noWrap w:val="0"/>
            <w:vAlign w:val="center"/>
          </w:tcPr>
          <w:p w14:paraId="7EFA6900">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如需进行大件设备添置或更换的，需与采购方及时沟通，协商后确定。</w:t>
            </w:r>
          </w:p>
        </w:tc>
        <w:tc>
          <w:tcPr>
            <w:tcW w:w="1078" w:type="dxa"/>
            <w:noWrap w:val="0"/>
            <w:vAlign w:val="center"/>
          </w:tcPr>
          <w:p w14:paraId="7609257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w:t>
            </w:r>
          </w:p>
        </w:tc>
        <w:tc>
          <w:tcPr>
            <w:tcW w:w="840" w:type="dxa"/>
            <w:noWrap w:val="0"/>
            <w:vAlign w:val="top"/>
          </w:tcPr>
          <w:p w14:paraId="3E557923">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64EA9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41" w:type="dxa"/>
            <w:vMerge w:val="restart"/>
            <w:noWrap w:val="0"/>
            <w:textDirection w:val="tbRlV"/>
            <w:vAlign w:val="center"/>
          </w:tcPr>
          <w:p w14:paraId="69E1214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流程管理</w:t>
            </w:r>
          </w:p>
        </w:tc>
        <w:tc>
          <w:tcPr>
            <w:tcW w:w="541" w:type="dxa"/>
            <w:vMerge w:val="restart"/>
            <w:noWrap w:val="0"/>
            <w:vAlign w:val="center"/>
          </w:tcPr>
          <w:p w14:paraId="5353B71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21分</w:t>
            </w:r>
          </w:p>
        </w:tc>
        <w:tc>
          <w:tcPr>
            <w:tcW w:w="974" w:type="dxa"/>
            <w:noWrap w:val="0"/>
            <w:vAlign w:val="center"/>
          </w:tcPr>
          <w:p w14:paraId="2E5BC8E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准时供餐</w:t>
            </w:r>
          </w:p>
        </w:tc>
        <w:tc>
          <w:tcPr>
            <w:tcW w:w="5463" w:type="dxa"/>
            <w:noWrap w:val="0"/>
            <w:vAlign w:val="center"/>
          </w:tcPr>
          <w:p w14:paraId="2BEF7527">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供餐准时，按</w:t>
            </w:r>
            <w:r>
              <w:rPr>
                <w:rFonts w:hint="eastAsia" w:ascii="宋体" w:hAnsi="宋体" w:cs="宋体"/>
                <w:color w:val="auto"/>
                <w:sz w:val="24"/>
                <w:szCs w:val="24"/>
                <w:highlight w:val="none"/>
                <w:lang w:eastAsia="zh-CN"/>
              </w:rPr>
              <w:t>采购要求</w:t>
            </w:r>
            <w:r>
              <w:rPr>
                <w:rFonts w:hint="eastAsia" w:ascii="宋体" w:hAnsi="宋体" w:eastAsia="宋体" w:cs="宋体"/>
                <w:color w:val="auto"/>
                <w:sz w:val="24"/>
                <w:szCs w:val="24"/>
                <w:highlight w:val="none"/>
              </w:rPr>
              <w:t>提供早餐午餐</w:t>
            </w:r>
            <w:r>
              <w:rPr>
                <w:rFonts w:hint="eastAsia" w:ascii="宋体" w:hAnsi="宋体" w:eastAsia="宋体" w:cs="宋体"/>
                <w:color w:val="auto"/>
                <w:sz w:val="24"/>
                <w:szCs w:val="24"/>
                <w:highlight w:val="none"/>
                <w:lang w:val="en-US" w:eastAsia="zh-CN"/>
              </w:rPr>
              <w:t>晚餐</w:t>
            </w:r>
            <w:r>
              <w:rPr>
                <w:rFonts w:hint="eastAsia" w:ascii="宋体" w:hAnsi="宋体" w:eastAsia="宋体" w:cs="宋体"/>
                <w:color w:val="auto"/>
                <w:sz w:val="24"/>
                <w:szCs w:val="24"/>
                <w:highlight w:val="none"/>
              </w:rPr>
              <w:t>。</w:t>
            </w:r>
          </w:p>
        </w:tc>
        <w:tc>
          <w:tcPr>
            <w:tcW w:w="1078" w:type="dxa"/>
            <w:noWrap w:val="0"/>
            <w:vAlign w:val="center"/>
          </w:tcPr>
          <w:p w14:paraId="333DD83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840" w:type="dxa"/>
            <w:noWrap w:val="0"/>
            <w:vAlign w:val="top"/>
          </w:tcPr>
          <w:p w14:paraId="0F439EF0">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4696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41" w:type="dxa"/>
            <w:vMerge w:val="continue"/>
            <w:noWrap w:val="0"/>
            <w:vAlign w:val="center"/>
          </w:tcPr>
          <w:p w14:paraId="410AD60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24C4FAA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1070261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服务态度</w:t>
            </w:r>
          </w:p>
        </w:tc>
        <w:tc>
          <w:tcPr>
            <w:tcW w:w="5463" w:type="dxa"/>
            <w:noWrap w:val="0"/>
            <w:vAlign w:val="center"/>
          </w:tcPr>
          <w:p w14:paraId="06AC704B">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工作人员工作认真，服务热情周到，行为举止文明。</w:t>
            </w:r>
          </w:p>
        </w:tc>
        <w:tc>
          <w:tcPr>
            <w:tcW w:w="1078" w:type="dxa"/>
            <w:noWrap w:val="0"/>
            <w:vAlign w:val="center"/>
          </w:tcPr>
          <w:p w14:paraId="1923D3B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840" w:type="dxa"/>
            <w:noWrap w:val="0"/>
            <w:vAlign w:val="top"/>
          </w:tcPr>
          <w:p w14:paraId="1B8716DF">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7D5E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41" w:type="dxa"/>
            <w:vMerge w:val="continue"/>
            <w:noWrap w:val="0"/>
            <w:vAlign w:val="center"/>
          </w:tcPr>
          <w:p w14:paraId="59EC3CAF">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4A3B1F7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0E12E46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单据清晰</w:t>
            </w:r>
          </w:p>
        </w:tc>
        <w:tc>
          <w:tcPr>
            <w:tcW w:w="5463" w:type="dxa"/>
            <w:noWrap w:val="0"/>
            <w:vAlign w:val="center"/>
          </w:tcPr>
          <w:p w14:paraId="5709075E">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食材清单齐全，机器打印清晰。</w:t>
            </w:r>
          </w:p>
        </w:tc>
        <w:tc>
          <w:tcPr>
            <w:tcW w:w="1078" w:type="dxa"/>
            <w:noWrap w:val="0"/>
            <w:vAlign w:val="center"/>
          </w:tcPr>
          <w:p w14:paraId="2F6C3E7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3分</w:t>
            </w:r>
          </w:p>
        </w:tc>
        <w:tc>
          <w:tcPr>
            <w:tcW w:w="840" w:type="dxa"/>
            <w:noWrap w:val="0"/>
            <w:vAlign w:val="top"/>
          </w:tcPr>
          <w:p w14:paraId="60DC2095">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19CD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541" w:type="dxa"/>
            <w:vMerge w:val="continue"/>
            <w:noWrap w:val="0"/>
            <w:vAlign w:val="center"/>
          </w:tcPr>
          <w:p w14:paraId="1C4DC2F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3E7D512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43D349C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突发状况处理</w:t>
            </w:r>
          </w:p>
        </w:tc>
        <w:tc>
          <w:tcPr>
            <w:tcW w:w="5463" w:type="dxa"/>
            <w:noWrap w:val="0"/>
            <w:vAlign w:val="center"/>
          </w:tcPr>
          <w:p w14:paraId="1789950D">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遇到领导莅临、公职人员拜访等，能够保质完成甲方提出的要求。</w:t>
            </w:r>
          </w:p>
        </w:tc>
        <w:tc>
          <w:tcPr>
            <w:tcW w:w="1078" w:type="dxa"/>
            <w:noWrap w:val="0"/>
            <w:vAlign w:val="center"/>
          </w:tcPr>
          <w:p w14:paraId="5B53686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6分</w:t>
            </w:r>
          </w:p>
        </w:tc>
        <w:tc>
          <w:tcPr>
            <w:tcW w:w="840" w:type="dxa"/>
            <w:noWrap w:val="0"/>
            <w:vAlign w:val="top"/>
          </w:tcPr>
          <w:p w14:paraId="73E178DE">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757A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8" w:hRule="atLeast"/>
          <w:jc w:val="center"/>
        </w:trPr>
        <w:tc>
          <w:tcPr>
            <w:tcW w:w="541" w:type="dxa"/>
            <w:noWrap w:val="0"/>
            <w:vAlign w:val="center"/>
          </w:tcPr>
          <w:p w14:paraId="6B8141C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质量管理</w:t>
            </w:r>
          </w:p>
        </w:tc>
        <w:tc>
          <w:tcPr>
            <w:tcW w:w="541" w:type="dxa"/>
            <w:noWrap w:val="0"/>
            <w:vAlign w:val="center"/>
          </w:tcPr>
          <w:p w14:paraId="21972FC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39分</w:t>
            </w:r>
          </w:p>
        </w:tc>
        <w:tc>
          <w:tcPr>
            <w:tcW w:w="974" w:type="dxa"/>
            <w:noWrap w:val="0"/>
            <w:vAlign w:val="center"/>
          </w:tcPr>
          <w:p w14:paraId="36142A3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食材质量</w:t>
            </w:r>
          </w:p>
          <w:p w14:paraId="75C25E04">
            <w:pPr>
              <w:pStyle w:val="271"/>
              <w:keepNext w:val="0"/>
              <w:keepLines w:val="0"/>
              <w:pageBreakBefore w:val="0"/>
              <w:spacing w:line="360" w:lineRule="auto"/>
              <w:ind w:left="0" w:right="0" w:firstLine="420"/>
              <w:rPr>
                <w:rFonts w:hint="eastAsia" w:ascii="宋体" w:hAnsi="宋体" w:eastAsia="宋体" w:cs="宋体"/>
                <w:color w:val="auto"/>
                <w:sz w:val="24"/>
                <w:szCs w:val="24"/>
                <w:highlight w:val="none"/>
                <w:lang w:val="en-US"/>
              </w:rPr>
            </w:pPr>
          </w:p>
        </w:tc>
        <w:tc>
          <w:tcPr>
            <w:tcW w:w="5463" w:type="dxa"/>
            <w:noWrap w:val="0"/>
            <w:vAlign w:val="center"/>
          </w:tcPr>
          <w:p w14:paraId="24C5C575">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每天对配送单位提供的食材质量进行验收39分（验收时按各类食材验收标准每日打分，由每日得分汇总得出月度分，食材验收标准见</w:t>
            </w:r>
            <w:r>
              <w:rPr>
                <w:rFonts w:hint="eastAsia" w:ascii="宋体" w:hAnsi="宋体" w:eastAsia="宋体" w:cs="宋体"/>
                <w:b/>
                <w:color w:val="auto"/>
                <w:sz w:val="24"/>
                <w:szCs w:val="24"/>
                <w:highlight w:val="none"/>
              </w:rPr>
              <w:t>附件2。</w:t>
            </w:r>
          </w:p>
        </w:tc>
        <w:tc>
          <w:tcPr>
            <w:tcW w:w="1078" w:type="dxa"/>
            <w:noWrap w:val="0"/>
            <w:vAlign w:val="center"/>
          </w:tcPr>
          <w:p w14:paraId="0630DE4F">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39分</w:t>
            </w:r>
          </w:p>
        </w:tc>
        <w:tc>
          <w:tcPr>
            <w:tcW w:w="840" w:type="dxa"/>
            <w:noWrap w:val="0"/>
            <w:vAlign w:val="top"/>
          </w:tcPr>
          <w:p w14:paraId="712A5B41">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02A7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541" w:type="dxa"/>
            <w:vMerge w:val="restart"/>
            <w:noWrap w:val="0"/>
            <w:textDirection w:val="tbRlV"/>
            <w:vAlign w:val="center"/>
          </w:tcPr>
          <w:p w14:paraId="29EEB30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科学管理</w:t>
            </w:r>
          </w:p>
        </w:tc>
        <w:tc>
          <w:tcPr>
            <w:tcW w:w="541" w:type="dxa"/>
            <w:vMerge w:val="restart"/>
            <w:noWrap w:val="0"/>
            <w:vAlign w:val="center"/>
          </w:tcPr>
          <w:p w14:paraId="4780043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974" w:type="dxa"/>
            <w:noWrap w:val="0"/>
            <w:vAlign w:val="center"/>
          </w:tcPr>
          <w:p w14:paraId="485C339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留样制度</w:t>
            </w:r>
          </w:p>
        </w:tc>
        <w:tc>
          <w:tcPr>
            <w:tcW w:w="5463" w:type="dxa"/>
            <w:noWrap w:val="0"/>
            <w:vAlign w:val="center"/>
          </w:tcPr>
          <w:p w14:paraId="0CAE6222">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每天做好蔬菜农药残留检测，并作记录。规范做好留样工作。</w:t>
            </w:r>
          </w:p>
        </w:tc>
        <w:tc>
          <w:tcPr>
            <w:tcW w:w="1078" w:type="dxa"/>
            <w:noWrap w:val="0"/>
            <w:vAlign w:val="center"/>
          </w:tcPr>
          <w:p w14:paraId="7CBC23F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8分</w:t>
            </w:r>
          </w:p>
        </w:tc>
        <w:tc>
          <w:tcPr>
            <w:tcW w:w="840" w:type="dxa"/>
            <w:noWrap w:val="0"/>
            <w:vAlign w:val="top"/>
          </w:tcPr>
          <w:p w14:paraId="7219A974">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2D220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541" w:type="dxa"/>
            <w:vMerge w:val="continue"/>
            <w:noWrap w:val="0"/>
            <w:vAlign w:val="center"/>
          </w:tcPr>
          <w:p w14:paraId="21F8442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462C953E">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7F6280F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安全清洁</w:t>
            </w:r>
          </w:p>
        </w:tc>
        <w:tc>
          <w:tcPr>
            <w:tcW w:w="5463" w:type="dxa"/>
            <w:noWrap w:val="0"/>
            <w:vAlign w:val="center"/>
          </w:tcPr>
          <w:p w14:paraId="2DEC72E7">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操作场所、仓库、运输工具、贮物筐箱等保持清洁卫生，坚持每天清洁工作，每月4次做好四害消杀工作，按规定定期消毒并做好记载，仓库内无过期物品 。（抽查到不符要求的每次扣2分）。</w:t>
            </w:r>
          </w:p>
        </w:tc>
        <w:tc>
          <w:tcPr>
            <w:tcW w:w="1078" w:type="dxa"/>
            <w:noWrap w:val="0"/>
            <w:vAlign w:val="center"/>
          </w:tcPr>
          <w:p w14:paraId="18BAF09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8分</w:t>
            </w:r>
          </w:p>
        </w:tc>
        <w:tc>
          <w:tcPr>
            <w:tcW w:w="840" w:type="dxa"/>
            <w:noWrap w:val="0"/>
            <w:vAlign w:val="top"/>
          </w:tcPr>
          <w:p w14:paraId="393CE967">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0E02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541" w:type="dxa"/>
            <w:vMerge w:val="continue"/>
            <w:noWrap w:val="0"/>
            <w:vAlign w:val="center"/>
          </w:tcPr>
          <w:p w14:paraId="6F6205A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114916F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319A477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及时整改</w:t>
            </w:r>
          </w:p>
        </w:tc>
        <w:tc>
          <w:tcPr>
            <w:tcW w:w="5463" w:type="dxa"/>
            <w:noWrap w:val="0"/>
            <w:vAlign w:val="center"/>
          </w:tcPr>
          <w:p w14:paraId="49B3B145">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对采购方的意见、建议虚心接受，运营过程中出现的新情况新问题及时主动沟通、协调有效果，及时整改见实效。</w:t>
            </w:r>
          </w:p>
        </w:tc>
        <w:tc>
          <w:tcPr>
            <w:tcW w:w="1078" w:type="dxa"/>
            <w:noWrap w:val="0"/>
            <w:vAlign w:val="center"/>
          </w:tcPr>
          <w:p w14:paraId="4219190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8分</w:t>
            </w:r>
          </w:p>
        </w:tc>
        <w:tc>
          <w:tcPr>
            <w:tcW w:w="840" w:type="dxa"/>
            <w:noWrap w:val="0"/>
            <w:vAlign w:val="top"/>
          </w:tcPr>
          <w:p w14:paraId="1B8A85E9">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1291C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541" w:type="dxa"/>
            <w:vMerge w:val="continue"/>
            <w:noWrap w:val="0"/>
            <w:vAlign w:val="center"/>
          </w:tcPr>
          <w:p w14:paraId="095EEE6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541" w:type="dxa"/>
            <w:vMerge w:val="continue"/>
            <w:noWrap w:val="0"/>
            <w:vAlign w:val="center"/>
          </w:tcPr>
          <w:p w14:paraId="0501FF0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c>
          <w:tcPr>
            <w:tcW w:w="974" w:type="dxa"/>
            <w:noWrap w:val="0"/>
            <w:vAlign w:val="center"/>
          </w:tcPr>
          <w:p w14:paraId="1831789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协调沟通</w:t>
            </w:r>
          </w:p>
        </w:tc>
        <w:tc>
          <w:tcPr>
            <w:tcW w:w="5463" w:type="dxa"/>
            <w:noWrap w:val="0"/>
            <w:vAlign w:val="center"/>
          </w:tcPr>
          <w:p w14:paraId="0AFA7A8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每个月的月底，主动向采购方书面报告工作情况（运作情况，工作上不和谐之事之因之果，以及意见或建议）。</w:t>
            </w:r>
          </w:p>
        </w:tc>
        <w:tc>
          <w:tcPr>
            <w:tcW w:w="1078" w:type="dxa"/>
            <w:noWrap w:val="0"/>
            <w:vAlign w:val="center"/>
          </w:tcPr>
          <w:p w14:paraId="02FD935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8分</w:t>
            </w:r>
          </w:p>
        </w:tc>
        <w:tc>
          <w:tcPr>
            <w:tcW w:w="840" w:type="dxa"/>
            <w:noWrap w:val="0"/>
            <w:vAlign w:val="top"/>
          </w:tcPr>
          <w:p w14:paraId="53D8BA60">
            <w:pPr>
              <w:keepNext w:val="0"/>
              <w:keepLines w:val="0"/>
              <w:pageBreakBefore w:val="0"/>
              <w:spacing w:line="360" w:lineRule="auto"/>
              <w:ind w:left="0" w:right="0"/>
              <w:rPr>
                <w:rFonts w:hint="eastAsia" w:ascii="宋体" w:hAnsi="宋体" w:eastAsia="宋体" w:cs="宋体"/>
                <w:color w:val="auto"/>
                <w:sz w:val="24"/>
                <w:szCs w:val="24"/>
                <w:highlight w:val="none"/>
              </w:rPr>
            </w:pPr>
          </w:p>
        </w:tc>
      </w:tr>
      <w:tr w14:paraId="70E3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519" w:type="dxa"/>
            <w:gridSpan w:val="4"/>
            <w:noWrap w:val="0"/>
            <w:vAlign w:val="center"/>
          </w:tcPr>
          <w:p w14:paraId="0E8A3C8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078" w:type="dxa"/>
            <w:noWrap w:val="0"/>
            <w:vAlign w:val="center"/>
          </w:tcPr>
          <w:p w14:paraId="1C4446C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840" w:type="dxa"/>
            <w:noWrap w:val="0"/>
            <w:vAlign w:val="top"/>
          </w:tcPr>
          <w:p w14:paraId="1D45A08B">
            <w:pPr>
              <w:keepNext w:val="0"/>
              <w:keepLines w:val="0"/>
              <w:pageBreakBefore w:val="0"/>
              <w:spacing w:line="360" w:lineRule="auto"/>
              <w:ind w:left="0" w:right="0"/>
              <w:rPr>
                <w:rFonts w:hint="eastAsia" w:ascii="宋体" w:hAnsi="宋体" w:eastAsia="宋体" w:cs="宋体"/>
                <w:color w:val="auto"/>
                <w:sz w:val="24"/>
                <w:szCs w:val="24"/>
                <w:highlight w:val="none"/>
              </w:rPr>
            </w:pPr>
          </w:p>
        </w:tc>
      </w:tr>
    </w:tbl>
    <w:p w14:paraId="70B1857A">
      <w:pPr>
        <w:pStyle w:val="15"/>
        <w:keepNext w:val="0"/>
        <w:keepLines w:val="0"/>
        <w:pageBreakBefore w:val="0"/>
        <w:spacing w:after="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附件2：食材质量月考核表</w:t>
      </w:r>
    </w:p>
    <w:p w14:paraId="4786F473">
      <w:pPr>
        <w:pStyle w:val="269"/>
        <w:keepNext w:val="0"/>
        <w:keepLines w:val="0"/>
        <w:pageBreakBefore w:val="0"/>
        <w:spacing w:line="360" w:lineRule="auto"/>
        <w:ind w:left="0" w:right="0" w:firstLine="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被考核单位：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考核日期：</w:t>
      </w:r>
      <w:r>
        <w:rPr>
          <w:rFonts w:hint="eastAsia" w:ascii="宋体" w:hAnsi="宋体" w:eastAsia="宋体" w:cs="宋体"/>
          <w:color w:val="auto"/>
          <w:sz w:val="24"/>
          <w:szCs w:val="24"/>
          <w:highlight w:val="none"/>
          <w:u w:val="single"/>
        </w:rPr>
        <w:t xml:space="preserve">               </w:t>
      </w:r>
    </w:p>
    <w:tbl>
      <w:tblPr>
        <w:tblStyle w:val="38"/>
        <w:tblW w:w="9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413"/>
        <w:gridCol w:w="5033"/>
        <w:gridCol w:w="924"/>
        <w:gridCol w:w="924"/>
      </w:tblGrid>
      <w:tr w14:paraId="1A311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84" w:type="dxa"/>
            <w:noWrap w:val="0"/>
            <w:vAlign w:val="center"/>
          </w:tcPr>
          <w:p w14:paraId="7DA890A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13" w:type="dxa"/>
            <w:noWrap w:val="0"/>
            <w:vAlign w:val="center"/>
          </w:tcPr>
          <w:p w14:paraId="0CA3DFD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5033" w:type="dxa"/>
            <w:noWrap w:val="0"/>
            <w:vAlign w:val="center"/>
          </w:tcPr>
          <w:p w14:paraId="5FBAED5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  明</w:t>
            </w:r>
          </w:p>
        </w:tc>
        <w:tc>
          <w:tcPr>
            <w:tcW w:w="924" w:type="dxa"/>
            <w:noWrap w:val="0"/>
            <w:vAlign w:val="center"/>
          </w:tcPr>
          <w:p w14:paraId="3E09A5A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 值</w:t>
            </w:r>
          </w:p>
        </w:tc>
        <w:tc>
          <w:tcPr>
            <w:tcW w:w="924" w:type="dxa"/>
            <w:noWrap w:val="0"/>
            <w:vAlign w:val="center"/>
          </w:tcPr>
          <w:p w14:paraId="75BAA09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得分</w:t>
            </w:r>
          </w:p>
        </w:tc>
      </w:tr>
      <w:tr w14:paraId="1671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884" w:type="dxa"/>
            <w:noWrap w:val="0"/>
            <w:vAlign w:val="center"/>
          </w:tcPr>
          <w:p w14:paraId="7C0FC8D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13" w:type="dxa"/>
            <w:noWrap w:val="0"/>
            <w:vAlign w:val="center"/>
          </w:tcPr>
          <w:p w14:paraId="227928E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猪肉类</w:t>
            </w:r>
          </w:p>
        </w:tc>
        <w:tc>
          <w:tcPr>
            <w:tcW w:w="5033" w:type="dxa"/>
            <w:noWrap w:val="0"/>
            <w:vAlign w:val="center"/>
          </w:tcPr>
          <w:p w14:paraId="4A151501">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要求必须是放心肉，交货时需配有动物卫生检疫及屠宰证明，去除筋杂物，肉质鲜嫩，不注水，符合食品卫生要求；</w:t>
            </w:r>
          </w:p>
        </w:tc>
        <w:tc>
          <w:tcPr>
            <w:tcW w:w="924" w:type="dxa"/>
            <w:noWrap w:val="0"/>
            <w:vAlign w:val="center"/>
          </w:tcPr>
          <w:p w14:paraId="1AA079D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22F5DFD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4D3C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noWrap w:val="0"/>
            <w:vAlign w:val="center"/>
          </w:tcPr>
          <w:p w14:paraId="08CE1ED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13" w:type="dxa"/>
            <w:noWrap w:val="0"/>
            <w:vAlign w:val="center"/>
          </w:tcPr>
          <w:p w14:paraId="6388811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牛肉类</w:t>
            </w:r>
          </w:p>
        </w:tc>
        <w:tc>
          <w:tcPr>
            <w:tcW w:w="5033" w:type="dxa"/>
            <w:noWrap w:val="0"/>
            <w:vAlign w:val="center"/>
          </w:tcPr>
          <w:p w14:paraId="46E2F0E0">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要求有动物卫生检疫及屠宰证明，去除牛筋杂物，肉质鲜嫩，不注水。</w:t>
            </w:r>
          </w:p>
        </w:tc>
        <w:tc>
          <w:tcPr>
            <w:tcW w:w="924" w:type="dxa"/>
            <w:noWrap w:val="0"/>
            <w:vAlign w:val="center"/>
          </w:tcPr>
          <w:p w14:paraId="7FC676E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4DC1A51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6594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noWrap w:val="0"/>
            <w:vAlign w:val="center"/>
          </w:tcPr>
          <w:p w14:paraId="109DDAE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13" w:type="dxa"/>
            <w:noWrap w:val="0"/>
            <w:vAlign w:val="center"/>
          </w:tcPr>
          <w:p w14:paraId="3D882FA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鸡鸭类</w:t>
            </w:r>
          </w:p>
        </w:tc>
        <w:tc>
          <w:tcPr>
            <w:tcW w:w="5033" w:type="dxa"/>
            <w:noWrap w:val="0"/>
            <w:vAlign w:val="center"/>
          </w:tcPr>
          <w:p w14:paraId="000C6893">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需配有动物卫生检疫证明，表皮光滑，新鲜肥嫩，无内脏，不打水。</w:t>
            </w:r>
          </w:p>
        </w:tc>
        <w:tc>
          <w:tcPr>
            <w:tcW w:w="924" w:type="dxa"/>
            <w:noWrap w:val="0"/>
            <w:vAlign w:val="center"/>
          </w:tcPr>
          <w:p w14:paraId="4D08B88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5AF1316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194C3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noWrap w:val="0"/>
            <w:vAlign w:val="center"/>
          </w:tcPr>
          <w:p w14:paraId="3E09C34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413" w:type="dxa"/>
            <w:noWrap w:val="0"/>
            <w:vAlign w:val="center"/>
          </w:tcPr>
          <w:p w14:paraId="6E336F6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冷冻品类</w:t>
            </w:r>
          </w:p>
        </w:tc>
        <w:tc>
          <w:tcPr>
            <w:tcW w:w="5033" w:type="dxa"/>
            <w:noWrap w:val="0"/>
            <w:vAlign w:val="center"/>
          </w:tcPr>
          <w:p w14:paraId="67C032E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需有出厂日期、保质期，品质要优良，包装过关，无掺假。</w:t>
            </w:r>
          </w:p>
        </w:tc>
        <w:tc>
          <w:tcPr>
            <w:tcW w:w="924" w:type="dxa"/>
            <w:noWrap w:val="0"/>
            <w:vAlign w:val="center"/>
          </w:tcPr>
          <w:p w14:paraId="797FB5D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2893C4D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3901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84" w:type="dxa"/>
            <w:noWrap w:val="0"/>
            <w:vAlign w:val="center"/>
          </w:tcPr>
          <w:p w14:paraId="22DD8EE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413" w:type="dxa"/>
            <w:noWrap w:val="0"/>
            <w:vAlign w:val="center"/>
          </w:tcPr>
          <w:p w14:paraId="3B48A11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禽蛋类</w:t>
            </w:r>
          </w:p>
        </w:tc>
        <w:tc>
          <w:tcPr>
            <w:tcW w:w="5033" w:type="dxa"/>
            <w:noWrap w:val="0"/>
            <w:vAlign w:val="center"/>
          </w:tcPr>
          <w:p w14:paraId="391D6592">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要新鲜，符合食品卫生要求。</w:t>
            </w:r>
          </w:p>
        </w:tc>
        <w:tc>
          <w:tcPr>
            <w:tcW w:w="924" w:type="dxa"/>
            <w:noWrap w:val="0"/>
            <w:vAlign w:val="center"/>
          </w:tcPr>
          <w:p w14:paraId="6533975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4F14918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61E4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noWrap w:val="0"/>
            <w:vAlign w:val="center"/>
          </w:tcPr>
          <w:p w14:paraId="08E700D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413" w:type="dxa"/>
            <w:noWrap w:val="0"/>
            <w:vAlign w:val="center"/>
          </w:tcPr>
          <w:p w14:paraId="27FCDB1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蔬菜类</w:t>
            </w:r>
          </w:p>
        </w:tc>
        <w:tc>
          <w:tcPr>
            <w:tcW w:w="5033" w:type="dxa"/>
            <w:noWrap w:val="0"/>
            <w:vAlign w:val="center"/>
          </w:tcPr>
          <w:p w14:paraId="4522DAB9">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新鲜嫩绿，无黄叶，无菜虫，必须通过农药残留成分测试，蔬菜不带根，不带泥。</w:t>
            </w:r>
          </w:p>
        </w:tc>
        <w:tc>
          <w:tcPr>
            <w:tcW w:w="924" w:type="dxa"/>
            <w:noWrap w:val="0"/>
            <w:vAlign w:val="center"/>
          </w:tcPr>
          <w:p w14:paraId="19C6027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1227F7AE">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6037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84" w:type="dxa"/>
            <w:noWrap w:val="0"/>
            <w:vAlign w:val="center"/>
          </w:tcPr>
          <w:p w14:paraId="6672FB6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413" w:type="dxa"/>
            <w:noWrap w:val="0"/>
            <w:vAlign w:val="center"/>
          </w:tcPr>
          <w:p w14:paraId="35E07E0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油类</w:t>
            </w:r>
          </w:p>
        </w:tc>
        <w:tc>
          <w:tcPr>
            <w:tcW w:w="5033" w:type="dxa"/>
            <w:noWrap w:val="0"/>
            <w:vAlign w:val="center"/>
          </w:tcPr>
          <w:p w14:paraId="3C449318">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不得采购来源不明和周转桶装植物油。</w:t>
            </w:r>
          </w:p>
        </w:tc>
        <w:tc>
          <w:tcPr>
            <w:tcW w:w="924" w:type="dxa"/>
            <w:noWrap w:val="0"/>
            <w:vAlign w:val="center"/>
          </w:tcPr>
          <w:p w14:paraId="6C9D9F5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noWrap w:val="0"/>
            <w:vAlign w:val="top"/>
          </w:tcPr>
          <w:p w14:paraId="6D8ED8F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016BE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884" w:type="dxa"/>
            <w:tcBorders>
              <w:bottom w:val="single" w:color="auto" w:sz="4" w:space="0"/>
            </w:tcBorders>
            <w:noWrap w:val="0"/>
            <w:vAlign w:val="center"/>
          </w:tcPr>
          <w:p w14:paraId="46EB695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413" w:type="dxa"/>
            <w:tcBorders>
              <w:bottom w:val="single" w:color="auto" w:sz="4" w:space="0"/>
            </w:tcBorders>
            <w:noWrap w:val="0"/>
            <w:vAlign w:val="center"/>
          </w:tcPr>
          <w:p w14:paraId="57FC0AA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米面制品</w:t>
            </w:r>
          </w:p>
        </w:tc>
        <w:tc>
          <w:tcPr>
            <w:tcW w:w="5033" w:type="dxa"/>
            <w:tcBorders>
              <w:bottom w:val="single" w:color="auto" w:sz="4" w:space="0"/>
            </w:tcBorders>
            <w:noWrap w:val="0"/>
            <w:vAlign w:val="center"/>
          </w:tcPr>
          <w:p w14:paraId="6383CC69">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需有商标牌号，厂家三证、检验报告、生产日期。保证大米质量，无砂石，无虫，无黑色杂物的品种。</w:t>
            </w:r>
          </w:p>
        </w:tc>
        <w:tc>
          <w:tcPr>
            <w:tcW w:w="924" w:type="dxa"/>
            <w:tcBorders>
              <w:bottom w:val="single" w:color="auto" w:sz="4" w:space="0"/>
            </w:tcBorders>
            <w:noWrap w:val="0"/>
            <w:vAlign w:val="center"/>
          </w:tcPr>
          <w:p w14:paraId="0C669C2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7E14ADD4">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78887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84" w:type="dxa"/>
            <w:tcBorders>
              <w:bottom w:val="single" w:color="auto" w:sz="4" w:space="0"/>
            </w:tcBorders>
            <w:noWrap w:val="0"/>
            <w:vAlign w:val="center"/>
          </w:tcPr>
          <w:p w14:paraId="1A1EA476">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413" w:type="dxa"/>
            <w:tcBorders>
              <w:bottom w:val="single" w:color="auto" w:sz="4" w:space="0"/>
            </w:tcBorders>
            <w:noWrap w:val="0"/>
            <w:vAlign w:val="center"/>
          </w:tcPr>
          <w:p w14:paraId="7851240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早点类</w:t>
            </w:r>
          </w:p>
        </w:tc>
        <w:tc>
          <w:tcPr>
            <w:tcW w:w="5033" w:type="dxa"/>
            <w:tcBorders>
              <w:bottom w:val="single" w:color="auto" w:sz="4" w:space="0"/>
            </w:tcBorders>
            <w:noWrap w:val="0"/>
            <w:vAlign w:val="center"/>
          </w:tcPr>
          <w:p w14:paraId="05AC043C">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新鲜，保温，单个品种规格相同，数量充足。</w:t>
            </w:r>
          </w:p>
        </w:tc>
        <w:tc>
          <w:tcPr>
            <w:tcW w:w="924" w:type="dxa"/>
            <w:tcBorders>
              <w:bottom w:val="single" w:color="auto" w:sz="4" w:space="0"/>
            </w:tcBorders>
            <w:noWrap w:val="0"/>
            <w:vAlign w:val="center"/>
          </w:tcPr>
          <w:p w14:paraId="0862896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6E69E33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3796E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tcBorders>
              <w:bottom w:val="single" w:color="auto" w:sz="4" w:space="0"/>
            </w:tcBorders>
            <w:noWrap w:val="0"/>
            <w:vAlign w:val="center"/>
          </w:tcPr>
          <w:p w14:paraId="2A57D1F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413" w:type="dxa"/>
            <w:tcBorders>
              <w:bottom w:val="single" w:color="auto" w:sz="4" w:space="0"/>
            </w:tcBorders>
            <w:noWrap w:val="0"/>
            <w:vAlign w:val="center"/>
          </w:tcPr>
          <w:p w14:paraId="479B4C8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鲜鱼类</w:t>
            </w:r>
          </w:p>
        </w:tc>
        <w:tc>
          <w:tcPr>
            <w:tcW w:w="5033" w:type="dxa"/>
            <w:tcBorders>
              <w:bottom w:val="single" w:color="auto" w:sz="4" w:space="0"/>
            </w:tcBorders>
            <w:noWrap w:val="0"/>
            <w:vAlign w:val="center"/>
          </w:tcPr>
          <w:p w14:paraId="2E5EB797">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必须生猛鲜活，过称后杀鱼,鱼鳞刮净,去除内脏、鱼腮，肉质新鲜。</w:t>
            </w:r>
          </w:p>
        </w:tc>
        <w:tc>
          <w:tcPr>
            <w:tcW w:w="924" w:type="dxa"/>
            <w:tcBorders>
              <w:bottom w:val="single" w:color="auto" w:sz="4" w:space="0"/>
            </w:tcBorders>
            <w:noWrap w:val="0"/>
            <w:vAlign w:val="center"/>
          </w:tcPr>
          <w:p w14:paraId="55FAA9C0">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660FCA3C">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71C5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tcBorders>
              <w:bottom w:val="single" w:color="auto" w:sz="4" w:space="0"/>
            </w:tcBorders>
            <w:noWrap w:val="0"/>
            <w:vAlign w:val="center"/>
          </w:tcPr>
          <w:p w14:paraId="216EC162">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413" w:type="dxa"/>
            <w:tcBorders>
              <w:bottom w:val="single" w:color="auto" w:sz="4" w:space="0"/>
            </w:tcBorders>
            <w:noWrap w:val="0"/>
            <w:vAlign w:val="center"/>
          </w:tcPr>
          <w:p w14:paraId="3E79554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半成品</w:t>
            </w:r>
          </w:p>
        </w:tc>
        <w:tc>
          <w:tcPr>
            <w:tcW w:w="5033" w:type="dxa"/>
            <w:tcBorders>
              <w:bottom w:val="single" w:color="auto" w:sz="4" w:space="0"/>
            </w:tcBorders>
            <w:noWrap w:val="0"/>
            <w:vAlign w:val="center"/>
          </w:tcPr>
          <w:p w14:paraId="491FFB88">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需提供可靠来源，并必须持有卫生许可证、营业执照等合法证。</w:t>
            </w:r>
          </w:p>
        </w:tc>
        <w:tc>
          <w:tcPr>
            <w:tcW w:w="924" w:type="dxa"/>
            <w:tcBorders>
              <w:bottom w:val="single" w:color="auto" w:sz="4" w:space="0"/>
            </w:tcBorders>
            <w:noWrap w:val="0"/>
            <w:vAlign w:val="center"/>
          </w:tcPr>
          <w:p w14:paraId="247982F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6F00E07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4F51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84" w:type="dxa"/>
            <w:tcBorders>
              <w:bottom w:val="single" w:color="auto" w:sz="4" w:space="0"/>
            </w:tcBorders>
            <w:noWrap w:val="0"/>
            <w:vAlign w:val="center"/>
          </w:tcPr>
          <w:p w14:paraId="528CA9CA">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413" w:type="dxa"/>
            <w:tcBorders>
              <w:bottom w:val="single" w:color="auto" w:sz="4" w:space="0"/>
            </w:tcBorders>
            <w:noWrap w:val="0"/>
            <w:vAlign w:val="center"/>
          </w:tcPr>
          <w:p w14:paraId="5BA3256B">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副食酱料</w:t>
            </w:r>
          </w:p>
        </w:tc>
        <w:tc>
          <w:tcPr>
            <w:tcW w:w="5033" w:type="dxa"/>
            <w:tcBorders>
              <w:bottom w:val="single" w:color="auto" w:sz="4" w:space="0"/>
            </w:tcBorders>
            <w:noWrap w:val="0"/>
            <w:vAlign w:val="center"/>
          </w:tcPr>
          <w:p w14:paraId="5764167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正规知名厂家或其代理商，需有商标牌号，需注明生产日期、产地、保质期，包装规格等。</w:t>
            </w:r>
          </w:p>
        </w:tc>
        <w:tc>
          <w:tcPr>
            <w:tcW w:w="924" w:type="dxa"/>
            <w:tcBorders>
              <w:bottom w:val="single" w:color="auto" w:sz="4" w:space="0"/>
            </w:tcBorders>
            <w:noWrap w:val="0"/>
            <w:vAlign w:val="center"/>
          </w:tcPr>
          <w:p w14:paraId="28E48FC3">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16787219">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27E8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84" w:type="dxa"/>
            <w:tcBorders>
              <w:bottom w:val="single" w:color="auto" w:sz="4" w:space="0"/>
            </w:tcBorders>
            <w:noWrap w:val="0"/>
            <w:vAlign w:val="center"/>
          </w:tcPr>
          <w:p w14:paraId="7BABF55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1413" w:type="dxa"/>
            <w:tcBorders>
              <w:bottom w:val="single" w:color="auto" w:sz="4" w:space="0"/>
            </w:tcBorders>
            <w:noWrap w:val="0"/>
            <w:vAlign w:val="center"/>
          </w:tcPr>
          <w:p w14:paraId="29AB89F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箱装货</w:t>
            </w:r>
          </w:p>
        </w:tc>
        <w:tc>
          <w:tcPr>
            <w:tcW w:w="5033" w:type="dxa"/>
            <w:tcBorders>
              <w:bottom w:val="single" w:color="auto" w:sz="4" w:space="0"/>
            </w:tcBorders>
            <w:noWrap w:val="0"/>
            <w:vAlign w:val="center"/>
          </w:tcPr>
          <w:p w14:paraId="79BFA376">
            <w:pPr>
              <w:keepNext w:val="0"/>
              <w:keepLines w:val="0"/>
              <w:pageBreakBefore w:val="0"/>
              <w:spacing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要新鲜，符合食品卫生要求。</w:t>
            </w:r>
          </w:p>
        </w:tc>
        <w:tc>
          <w:tcPr>
            <w:tcW w:w="924" w:type="dxa"/>
            <w:tcBorders>
              <w:bottom w:val="single" w:color="auto" w:sz="4" w:space="0"/>
            </w:tcBorders>
            <w:noWrap w:val="0"/>
            <w:vAlign w:val="center"/>
          </w:tcPr>
          <w:p w14:paraId="66371A55">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24" w:type="dxa"/>
            <w:tcBorders>
              <w:bottom w:val="single" w:color="auto" w:sz="4" w:space="0"/>
            </w:tcBorders>
            <w:noWrap w:val="0"/>
            <w:vAlign w:val="top"/>
          </w:tcPr>
          <w:p w14:paraId="37DCA09D">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r w14:paraId="36BB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84" w:type="dxa"/>
            <w:tcBorders>
              <w:bottom w:val="single" w:color="auto" w:sz="4" w:space="0"/>
            </w:tcBorders>
            <w:noWrap w:val="0"/>
            <w:vAlign w:val="center"/>
          </w:tcPr>
          <w:p w14:paraId="58B0F73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6446" w:type="dxa"/>
            <w:gridSpan w:val="2"/>
            <w:tcBorders>
              <w:bottom w:val="single" w:color="auto" w:sz="4" w:space="0"/>
            </w:tcBorders>
            <w:noWrap w:val="0"/>
            <w:vAlign w:val="center"/>
          </w:tcPr>
          <w:p w14:paraId="2E6D9BB1">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924" w:type="dxa"/>
            <w:tcBorders>
              <w:bottom w:val="single" w:color="auto" w:sz="4" w:space="0"/>
            </w:tcBorders>
            <w:noWrap w:val="0"/>
            <w:vAlign w:val="center"/>
          </w:tcPr>
          <w:p w14:paraId="5C2CA2E7">
            <w:pPr>
              <w:keepNext w:val="0"/>
              <w:keepLines w:val="0"/>
              <w:pageBreakBefore w:val="0"/>
              <w:spacing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39</w:t>
            </w:r>
          </w:p>
        </w:tc>
        <w:tc>
          <w:tcPr>
            <w:tcW w:w="924" w:type="dxa"/>
            <w:tcBorders>
              <w:bottom w:val="single" w:color="auto" w:sz="4" w:space="0"/>
            </w:tcBorders>
            <w:noWrap w:val="0"/>
            <w:vAlign w:val="top"/>
          </w:tcPr>
          <w:p w14:paraId="14BDA6A8">
            <w:pPr>
              <w:keepNext w:val="0"/>
              <w:keepLines w:val="0"/>
              <w:pageBreakBefore w:val="0"/>
              <w:spacing w:line="360" w:lineRule="auto"/>
              <w:ind w:left="0" w:right="0"/>
              <w:jc w:val="center"/>
              <w:rPr>
                <w:rFonts w:hint="eastAsia" w:ascii="宋体" w:hAnsi="宋体" w:eastAsia="宋体" w:cs="宋体"/>
                <w:color w:val="auto"/>
                <w:sz w:val="24"/>
                <w:szCs w:val="24"/>
                <w:highlight w:val="none"/>
              </w:rPr>
            </w:pPr>
          </w:p>
        </w:tc>
      </w:tr>
    </w:tbl>
    <w:p w14:paraId="7EFBD7D3">
      <w:pPr>
        <w:keepNext w:val="0"/>
        <w:keepLines w:val="0"/>
        <w:pageBreakBefore w:val="0"/>
        <w:spacing w:line="24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386DB924">
      <w:pPr>
        <w:keepNext w:val="0"/>
        <w:keepLines w:val="0"/>
        <w:pageBreakBefore w:val="0"/>
        <w:spacing w:line="360" w:lineRule="auto"/>
        <w:ind w:left="0" w:right="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：责任处罚：</w:t>
      </w:r>
    </w:p>
    <w:p w14:paraId="1AFCE78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(一）卫生方面</w:t>
      </w:r>
    </w:p>
    <w:p w14:paraId="53DF6BD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1、无证（健康证、工作牌）上岗每人次处罚500元；</w:t>
      </w:r>
    </w:p>
    <w:p w14:paraId="462FA403">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2、使用三无包装产品</w:t>
      </w:r>
    </w:p>
    <w:p w14:paraId="2B823AB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购进每次处罚500元；</w:t>
      </w:r>
    </w:p>
    <w:p w14:paraId="6AE147A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加工使用每次处罚500元；</w:t>
      </w:r>
    </w:p>
    <w:p w14:paraId="3D80377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向客户销售每次处罚500元；以上均并处没收或销毁该产品。</w:t>
      </w:r>
    </w:p>
    <w:p w14:paraId="6EFDC63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3、过期或变质产品</w:t>
      </w:r>
    </w:p>
    <w:p w14:paraId="3808896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购进每次处罚500元；</w:t>
      </w:r>
    </w:p>
    <w:p w14:paraId="40B4C9D1">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保管过程中造成，但没有及时销毁每次处罚500元；</w:t>
      </w:r>
    </w:p>
    <w:p w14:paraId="60F4109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加工使用每次处罚500元；</w:t>
      </w:r>
    </w:p>
    <w:p w14:paraId="4202B0F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向客户销售每次处罚500元，以上均并处没收或销毁该产品。</w:t>
      </w:r>
    </w:p>
    <w:p w14:paraId="45BC23F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4、除采购方管理人员外，进入食品加工、销售区域人员不穿戴工作衣帽、口罩或不正确穿戴的，每次处罚500元。</w:t>
      </w:r>
    </w:p>
    <w:p w14:paraId="5A60D31F">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5、生熟食品盛装器皿不分开，食品混放每次处罚500元。</w:t>
      </w:r>
    </w:p>
    <w:p w14:paraId="7845618C">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6、前餐剩余的食品必须按照要求妥善保管，加盖加罩必须使用保鲜膜，否则每次处罚500元。</w:t>
      </w:r>
    </w:p>
    <w:p w14:paraId="2BD1AFB9">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7、前餐剩余的食品必须彻底加热，凡不加热或加热不彻底销售的每次处罚500元。</w:t>
      </w:r>
    </w:p>
    <w:p w14:paraId="63C51F9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8、凡荤菜类或清洗完毕的菜肴放置于地面及菜肴没有清洗干净的每次处罚500元；因菜肴未洗干净造成严重后果的，视情节严重给予处罚。</w:t>
      </w:r>
    </w:p>
    <w:p w14:paraId="562FEA47">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9加工、制作、销售的小包装食品必须加贴生产日期，并且全部当天销售完毕或未售的进行销毁，否则每次处罚500元。</w:t>
      </w:r>
    </w:p>
    <w:p w14:paraId="15F6AA1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10、加工成熟的热菜不加盖任何隔离，直接敞口存放的每次处罚500元。</w:t>
      </w:r>
    </w:p>
    <w:p w14:paraId="461D0028">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11、违法使用色素等添加剂加工食品每次处罚1000元。</w:t>
      </w:r>
    </w:p>
    <w:p w14:paraId="4F15525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12、食品及原材料应使用无色食品袋盛装，凡使用有色食品袋盛放食品，每次处罚500元。</w:t>
      </w:r>
    </w:p>
    <w:p w14:paraId="62074BA3">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13、凡发现餐具没洗干净，或餐具有异味、霉斑每次处罚500元，餐具未按照规定消毒或没有消毒记录每次处罚500元。</w:t>
      </w:r>
    </w:p>
    <w:p w14:paraId="34E3425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14、食品中发现有头发、苍蝇等异物的，经确认是操作过程中造成的，每次处罚500元。</w:t>
      </w:r>
    </w:p>
    <w:p w14:paraId="39ED7205">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15、在食品加工或销售间吸烟（发现烟头视为吸烟）每次处罚500元；边操作边吸烟每次处罚1000元。</w:t>
      </w:r>
    </w:p>
    <w:p w14:paraId="30A274C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16、禁止销售夹生饭每次处罚500元。</w:t>
      </w:r>
    </w:p>
    <w:p w14:paraId="1643EFDD">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17、食品加工或销售间物品摆放整齐，无私人物品。操作台及地面干净整齐，否则每次处罚500元。</w:t>
      </w:r>
    </w:p>
    <w:p w14:paraId="534889C7">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18、凡造成食物中毒事故的外包单位除承担一切民事（含经济赔偿）、刑事责任外，还将被扣除全部保证金，并终止协议。</w:t>
      </w:r>
    </w:p>
    <w:p w14:paraId="4CF7A64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）安全方面</w:t>
      </w:r>
    </w:p>
    <w:p w14:paraId="30BB7BF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1、非食堂工作人员不得进入食堂食品加工和销售间（采购方相关管理人员除外），维修人员以及上级着便装检查必须在食堂负责人的许可后方可进入，否则每次处罚500元。</w:t>
      </w:r>
    </w:p>
    <w:p w14:paraId="170A9B71">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2、食堂后门在非进出货品时必须上锁或反锁，否则每次处罚500元。</w:t>
      </w:r>
    </w:p>
    <w:p w14:paraId="52D74282">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3、中午和餐休息时大厅必须安排专人值班并不得串岗，售餐门窗必须关闭，确保外人不得进入食堂后场，否则每次处罚500元。</w:t>
      </w:r>
    </w:p>
    <w:p w14:paraId="14331486">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4、水、电、燃气、蒸汽必须规范操作，安全使用，否则每次处罚1000元；凡是违规操作导致一切后果均由使用单位负责，私拆电源控制开关每次处罚1000元。</w:t>
      </w:r>
    </w:p>
    <w:p w14:paraId="3C3DF45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5、食堂经营方要对经营场所的消防负责，擅自挪用、移动、损坏设施及违反其他消防安全规定的，处于500-2000元的罚款，造成严重后果的按照相关法律追究相应责任。</w:t>
      </w:r>
    </w:p>
    <w:p w14:paraId="46FD5171">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）经营服务方面</w:t>
      </w:r>
    </w:p>
    <w:p w14:paraId="2B52257E">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1、经营者在食品质量、卫生、安全、经营方向上要严格服从采购方统一要求，对违法、违反规定行为予以处罚1000-5000元，如经营者不配合检查的以及整改不力的视情节严重，采购方有权终止协议。</w:t>
      </w:r>
    </w:p>
    <w:p w14:paraId="5E6627EB">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2、食堂服务人员必须礼貌待人，被客户投诉一次处罚1000元，同一人员被举报/投诉两次的处罚2000元，三次责令经营单位将该员工调离现岗位。</w:t>
      </w:r>
    </w:p>
    <w:p w14:paraId="0B3D3577">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3、食堂内部包干区的卫生，须保持整洁、干净，否则每次处罚1000-2000元。</w:t>
      </w:r>
    </w:p>
    <w:p w14:paraId="6CCFCD34">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4、服从采购方管理，对采购方的相关制度、决定必须认真贯彻执行，凡不配合、不执行的每次处罚1000元。</w:t>
      </w:r>
    </w:p>
    <w:p w14:paraId="354EC010">
      <w:pPr>
        <w:keepNext w:val="0"/>
        <w:keepLines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以上涉及到罚款不需经营方签字，直接由采购方开处罚单，并从合同金额中扣除。</w:t>
      </w:r>
    </w:p>
    <w:p w14:paraId="616E9CC6">
      <w:pPr>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p>
    <w:p w14:paraId="54131787">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政府采购合同信用融资政策告知函</w:t>
      </w:r>
    </w:p>
    <w:p w14:paraId="0669F4F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各政府采购供应商：</w:t>
      </w:r>
    </w:p>
    <w:p w14:paraId="59A522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欢迎贵公司参加苏州市政府采购活动！</w:t>
      </w:r>
    </w:p>
    <w:p w14:paraId="52141A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p>
    <w:p w14:paraId="15339951">
      <w:pPr>
        <w:keepNext w:val="0"/>
        <w:keepLines w:val="0"/>
        <w:pageBreakBefore w:val="0"/>
        <w:widowControl w:val="0"/>
        <w:spacing w:line="360" w:lineRule="auto"/>
        <w:rPr>
          <w:rFonts w:hint="eastAsia" w:ascii="宋体" w:hAnsi="宋体" w:eastAsia="宋体" w:cs="宋体"/>
          <w:b/>
          <w:bCs/>
          <w:color w:val="auto"/>
          <w:sz w:val="24"/>
          <w:szCs w:val="24"/>
          <w:highlight w:val="none"/>
        </w:rPr>
      </w:pPr>
    </w:p>
    <w:p w14:paraId="7D43577E">
      <w:pPr>
        <w:spacing w:line="240" w:lineRule="auto"/>
        <w:jc w:val="left"/>
        <w:outlineLvl w:val="9"/>
        <w:rPr>
          <w:rFonts w:hint="eastAsia" w:ascii="宋体" w:hAnsi="宋体" w:cs="宋体"/>
          <w:b/>
          <w:bCs/>
          <w:color w:val="auto"/>
          <w:sz w:val="48"/>
          <w:szCs w:val="48"/>
          <w:highlight w:val="none"/>
        </w:rPr>
      </w:pPr>
      <w:bookmarkStart w:id="41" w:name="_Toc26347"/>
      <w:r>
        <w:rPr>
          <w:rFonts w:hint="eastAsia" w:ascii="宋体" w:hAnsi="宋体" w:cs="宋体"/>
          <w:b/>
          <w:bCs/>
          <w:color w:val="auto"/>
          <w:sz w:val="48"/>
          <w:szCs w:val="48"/>
          <w:highlight w:val="none"/>
        </w:rPr>
        <w:br w:type="page" w:clear="all"/>
      </w:r>
    </w:p>
    <w:p w14:paraId="2C742B4A">
      <w:pPr>
        <w:tabs>
          <w:tab w:val="left" w:pos="8930"/>
          <w:tab w:val="left" w:pos="9306"/>
        </w:tabs>
        <w:spacing w:line="360" w:lineRule="auto"/>
        <w:jc w:val="center"/>
        <w:outlineLvl w:val="0"/>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第六章 评审办法及评分标准</w:t>
      </w:r>
      <w:bookmarkEnd w:id="41"/>
    </w:p>
    <w:p w14:paraId="4A31A79C">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一、评审方法：</w:t>
      </w:r>
    </w:p>
    <w:p w14:paraId="2FB17679">
      <w:pPr>
        <w:spacing w:line="360" w:lineRule="auto"/>
        <w:ind w:firstLine="480"/>
        <w:rPr>
          <w:rFonts w:hint="default" w:ascii="宋体" w:hAnsi="宋体" w:cs="宋体"/>
          <w:color w:val="auto"/>
          <w:kern w:val="0"/>
          <w:sz w:val="24"/>
          <w:szCs w:val="24"/>
          <w:highlight w:val="none"/>
          <w:lang w:val="zh-TW" w:eastAsia="zh-TW"/>
        </w:rPr>
      </w:pPr>
      <w:r>
        <w:rPr>
          <w:rFonts w:hint="eastAsia" w:ascii="宋体" w:hAnsi="宋体" w:cs="Arial Unicode MS"/>
          <w:color w:val="auto"/>
          <w:kern w:val="0"/>
          <w:sz w:val="24"/>
          <w:szCs w:val="24"/>
          <w:highlight w:val="none"/>
          <w:lang w:val="en-US" w:eastAsia="zh-CN"/>
        </w:rPr>
        <w:t>1、</w:t>
      </w:r>
      <w:r>
        <w:rPr>
          <w:rFonts w:hint="default" w:ascii="宋体" w:hAnsi="宋体" w:cs="宋体"/>
          <w:color w:val="auto"/>
          <w:kern w:val="0"/>
          <w:sz w:val="24"/>
          <w:szCs w:val="24"/>
          <w:highlight w:val="none"/>
          <w:lang w:val="zh-TW" w:eastAsia="zh-TW"/>
        </w:rPr>
        <w:t>磋商确定最终采购需求和提交最后报价的供应商后，由磋商小组采用综合评分法对提交最后报价的供应商的响应文件和最后报价进行综合评分。</w:t>
      </w:r>
      <w:r>
        <w:rPr>
          <w:rFonts w:hint="eastAsia" w:ascii="宋体" w:hAnsi="宋体" w:cs="宋体"/>
          <w:color w:val="auto"/>
          <w:kern w:val="0"/>
          <w:sz w:val="24"/>
          <w:szCs w:val="24"/>
          <w:highlight w:val="none"/>
          <w:lang w:val="zh-TW" w:eastAsia="zh-TW"/>
        </w:rPr>
        <w:t>以评标总得分由高到低进行排名。</w:t>
      </w:r>
    </w:p>
    <w:p w14:paraId="2D7A9EED">
      <w:pPr>
        <w:spacing w:line="360" w:lineRule="auto"/>
        <w:ind w:firstLine="480"/>
        <w:rPr>
          <w:rFonts w:hint="default" w:ascii="宋体" w:hAnsi="宋体" w:cs="Arial Unicode MS"/>
          <w:color w:val="auto"/>
          <w:kern w:val="0"/>
          <w:sz w:val="24"/>
          <w:szCs w:val="24"/>
          <w:highlight w:val="none"/>
        </w:rPr>
      </w:pPr>
      <w:r>
        <w:rPr>
          <w:rFonts w:hint="eastAsia" w:ascii="宋体" w:hAnsi="宋体" w:cs="Arial Unicode MS"/>
          <w:color w:val="auto"/>
          <w:kern w:val="0"/>
          <w:sz w:val="24"/>
          <w:szCs w:val="24"/>
          <w:highlight w:val="none"/>
          <w:lang w:val="en-US" w:eastAsia="zh-CN"/>
        </w:rPr>
        <w:t>2、</w:t>
      </w:r>
      <w:r>
        <w:rPr>
          <w:rFonts w:hint="default" w:ascii="宋体" w:hAnsi="宋体" w:cs="宋体"/>
          <w:color w:val="auto"/>
          <w:kern w:val="0"/>
          <w:sz w:val="24"/>
          <w:szCs w:val="24"/>
          <w:highlight w:val="none"/>
          <w:lang w:val="zh-TW" w:eastAsia="zh-TW"/>
        </w:rPr>
        <w:t>综合评分法是指响应文件满足磋商文件全部实质性要求且按评审因素的量化指标评审得分最高的供应商为成交候选供应商的评审方法。</w:t>
      </w:r>
    </w:p>
    <w:p w14:paraId="5C42688F">
      <w:pPr>
        <w:spacing w:line="360" w:lineRule="auto"/>
        <w:ind w:firstLine="480"/>
        <w:rPr>
          <w:rFonts w:hint="default" w:ascii="宋体" w:hAnsi="宋体" w:cs="Arial Unicode MS"/>
          <w:color w:val="auto"/>
          <w:kern w:val="0"/>
          <w:sz w:val="24"/>
          <w:szCs w:val="24"/>
          <w:highlight w:val="none"/>
        </w:rPr>
      </w:pPr>
      <w:r>
        <w:rPr>
          <w:rFonts w:hint="eastAsia" w:ascii="宋体" w:hAnsi="宋体" w:cs="Arial Unicode MS"/>
          <w:color w:val="auto"/>
          <w:kern w:val="0"/>
          <w:sz w:val="24"/>
          <w:szCs w:val="24"/>
          <w:highlight w:val="none"/>
          <w:lang w:val="en-US" w:eastAsia="zh-CN"/>
        </w:rPr>
        <w:t>3、</w:t>
      </w:r>
      <w:r>
        <w:rPr>
          <w:rFonts w:hint="default" w:ascii="宋体" w:hAnsi="宋体" w:cs="宋体"/>
          <w:color w:val="auto"/>
          <w:kern w:val="0"/>
          <w:sz w:val="24"/>
          <w:szCs w:val="24"/>
          <w:highlight w:val="none"/>
          <w:lang w:val="zh-TW" w:eastAsia="zh-TW"/>
        </w:rPr>
        <w:t>评审时，磋商小组各成员应当独立对每个有效响应的文件进行评价、打分，然后汇总每个供应商每项评分因素的得分。</w:t>
      </w:r>
    </w:p>
    <w:p w14:paraId="3A44F45D">
      <w:pPr>
        <w:spacing w:line="360" w:lineRule="auto"/>
        <w:ind w:firstLine="420"/>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 xml:space="preserve">对评委的评分（除价格分外）进行统计汇总，直接算术平均计算得分；计算出每个响应单位的得分，加上价格得分即为每个响应单位的综合得分。 </w:t>
      </w:r>
    </w:p>
    <w:p w14:paraId="2160C265">
      <w:pPr>
        <w:spacing w:line="360" w:lineRule="auto"/>
        <w:ind w:firstLine="468"/>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如出现评标总得分最高的响应单位有两个或两个以上的，以响应报价较低者优先作为成交候选人，如果响应报价也相同的，则由代理机构组织以抽签方式确定成交候选人。</w:t>
      </w:r>
    </w:p>
    <w:p w14:paraId="417281D4">
      <w:pPr>
        <w:spacing w:line="360" w:lineRule="auto"/>
        <w:ind w:firstLine="480"/>
        <w:rPr>
          <w:rFonts w:hint="default"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针对中小型企业残疾人企业和监狱企业的评审：</w:t>
      </w:r>
    </w:p>
    <w:p w14:paraId="5D3FAA33">
      <w:pPr>
        <w:spacing w:line="360" w:lineRule="auto"/>
        <w:ind w:firstLine="480"/>
        <w:rPr>
          <w:rFonts w:hint="default" w:ascii="宋体" w:hAnsi="宋体" w:cs="宋体"/>
          <w:b/>
          <w:bCs/>
          <w:color w:val="auto"/>
          <w:kern w:val="0"/>
          <w:sz w:val="24"/>
          <w:szCs w:val="24"/>
          <w:highlight w:val="none"/>
        </w:rPr>
      </w:pPr>
      <w:r>
        <w:rPr>
          <w:rFonts w:hint="eastAsia" w:ascii="宋体" w:hAnsi="宋体" w:cs="宋体"/>
          <w:color w:val="auto"/>
          <w:kern w:val="0"/>
          <w:sz w:val="24"/>
          <w:szCs w:val="24"/>
          <w:highlight w:val="none"/>
        </w:rPr>
        <w:t>如响应单位为小型和微型企业，其价格在评审时给予20%的扣除，残疾人企业和监狱企业的，其价格在评审时给予20%的扣除；扣除后的价格参与价格评审。</w:t>
      </w:r>
      <w:r>
        <w:rPr>
          <w:rFonts w:hint="eastAsia" w:ascii="宋体" w:hAnsi="宋体" w:cs="宋体"/>
          <w:b/>
          <w:bCs/>
          <w:color w:val="auto"/>
          <w:kern w:val="0"/>
          <w:sz w:val="24"/>
          <w:szCs w:val="24"/>
          <w:highlight w:val="none"/>
        </w:rPr>
        <w:t>本项目为专门面向中小企业采购，将不再享受价格评审加分。</w:t>
      </w:r>
    </w:p>
    <w:p w14:paraId="2BD982BF">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rPr>
        <w:t>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本项目为专门面向中小企业采购，将不再享受价格评审加分。</w:t>
      </w:r>
      <w:r>
        <w:rPr>
          <w:rFonts w:hint="eastAsia" w:ascii="宋体" w:hAnsi="宋体" w:cs="宋体"/>
          <w:b/>
          <w:bCs/>
          <w:color w:val="auto"/>
          <w:kern w:val="0"/>
          <w:sz w:val="24"/>
          <w:szCs w:val="24"/>
          <w:highlight w:val="none"/>
        </w:rPr>
        <w:t>服务类项目中供应商若使用退休人员，将不享受中小企业扶持政策。</w:t>
      </w:r>
    </w:p>
    <w:p w14:paraId="66DFC346">
      <w:pPr>
        <w:keepNext w:val="0"/>
        <w:keepLines w:val="0"/>
        <w:pageBreakBefore w:val="0"/>
        <w:widowControl/>
        <w:spacing w:beforeAutospacing="0" w:afterAutospacing="0" w:line="360" w:lineRule="auto"/>
        <w:ind w:firstLine="482"/>
        <w:rPr>
          <w:rFonts w:hint="eastAsia" w:ascii="宋体" w:hAnsi="宋体" w:cs="宋体"/>
          <w:color w:val="auto"/>
          <w:sz w:val="24"/>
          <w:szCs w:val="24"/>
          <w:highlight w:val="none"/>
        </w:rPr>
      </w:pPr>
      <w:r>
        <w:rPr>
          <w:rFonts w:hint="eastAsia" w:ascii="宋体" w:hAnsi="宋体" w:cs="宋体"/>
          <w:b/>
          <w:color w:val="auto"/>
          <w:sz w:val="24"/>
          <w:szCs w:val="24"/>
          <w:highlight w:val="none"/>
        </w:rPr>
        <w:t>二、评分标准：</w:t>
      </w:r>
    </w:p>
    <w:p w14:paraId="2A5176D3">
      <w:pPr>
        <w:keepNext w:val="0"/>
        <w:keepLines w:val="0"/>
        <w:pageBreakBefore w:val="0"/>
        <w:spacing w:beforeAutospacing="0" w:afterAutospacing="0"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（一）价格基准分：10分</w:t>
      </w:r>
    </w:p>
    <w:p w14:paraId="0640FE45">
      <w:pPr>
        <w:keepNext w:val="0"/>
        <w:keepLines w:val="0"/>
        <w:pageBreakBefore w:val="0"/>
        <w:spacing w:beforeAutospacing="0" w:afterAutospacing="0"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第一步：磋商报价低于或等于财政预算价格的，为有效磋商报价。超财政预算的磋商报价文件为未实质性响应文件，不参与评审。</w:t>
      </w:r>
    </w:p>
    <w:p w14:paraId="744321E3">
      <w:pPr>
        <w:keepNext w:val="0"/>
        <w:keepLines w:val="0"/>
        <w:pageBreakBefore w:val="0"/>
        <w:spacing w:beforeAutospacing="0" w:afterAutospacing="0"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第二步：在所有有效磋商报价中满足采购文件要求，且磋商价格最低的磋商报价为评标基准价，其价格分为10分，其他</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的价格分按照下列公式计算（计算结果四舍五入保留两位小数）</w:t>
      </w:r>
    </w:p>
    <w:p w14:paraId="69258EC6">
      <w:pPr>
        <w:keepNext w:val="0"/>
        <w:keepLines w:val="0"/>
        <w:pageBreakBefore w:val="0"/>
        <w:spacing w:beforeAutospacing="0" w:afterAutospacing="0"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磋商报价得分＝（评标基准价/最后磋商报价）×10%×100</w:t>
      </w:r>
    </w:p>
    <w:p w14:paraId="5F9D3CD1">
      <w:pPr>
        <w:keepNext w:val="0"/>
        <w:keepLines w:val="0"/>
        <w:pageBreakBefore w:val="0"/>
        <w:spacing w:line="360" w:lineRule="auto"/>
        <w:ind w:firstLine="482"/>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（二）技术部分：（90分）</w:t>
      </w:r>
    </w:p>
    <w:p w14:paraId="06348729">
      <w:pPr>
        <w:keepNext w:val="0"/>
        <w:keepLines w:val="0"/>
        <w:pageBreakBefore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1、技术部分</w:t>
      </w:r>
      <w:r>
        <w:rPr>
          <w:rFonts w:hint="eastAsia" w:ascii="宋体" w:hAnsi="宋体" w:cs="宋体"/>
          <w:color w:val="auto"/>
          <w:sz w:val="24"/>
          <w:szCs w:val="24"/>
          <w:highlight w:val="none"/>
          <w:lang w:val="en-US" w:eastAsia="zh-CN"/>
        </w:rPr>
        <w:t>51</w:t>
      </w:r>
      <w:r>
        <w:rPr>
          <w:rFonts w:hint="eastAsia" w:ascii="宋体" w:hAnsi="宋体" w:eastAsia="宋体" w:cs="宋体"/>
          <w:color w:val="auto"/>
          <w:sz w:val="24"/>
          <w:szCs w:val="24"/>
          <w:highlight w:val="none"/>
        </w:rPr>
        <w:t>分</w:t>
      </w:r>
    </w:p>
    <w:tbl>
      <w:tblPr>
        <w:tblStyle w:val="38"/>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795"/>
        <w:gridCol w:w="780"/>
        <w:gridCol w:w="5957"/>
      </w:tblGrid>
      <w:tr w14:paraId="25F7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706" w:type="dxa"/>
            <w:noWrap w:val="0"/>
            <w:vAlign w:val="center"/>
          </w:tcPr>
          <w:p w14:paraId="290AAC9B">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序号</w:t>
            </w:r>
          </w:p>
        </w:tc>
        <w:tc>
          <w:tcPr>
            <w:tcW w:w="1795" w:type="dxa"/>
            <w:noWrap w:val="0"/>
            <w:vAlign w:val="center"/>
          </w:tcPr>
          <w:p w14:paraId="31AF2FA1">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评审因素</w:t>
            </w:r>
          </w:p>
        </w:tc>
        <w:tc>
          <w:tcPr>
            <w:tcW w:w="780" w:type="dxa"/>
            <w:noWrap w:val="0"/>
            <w:vAlign w:val="center"/>
          </w:tcPr>
          <w:p w14:paraId="74EF9715">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分值</w:t>
            </w:r>
          </w:p>
        </w:tc>
        <w:tc>
          <w:tcPr>
            <w:tcW w:w="5957" w:type="dxa"/>
            <w:noWrap w:val="0"/>
            <w:vAlign w:val="center"/>
          </w:tcPr>
          <w:p w14:paraId="200DA5D0">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评分标准</w:t>
            </w:r>
          </w:p>
        </w:tc>
      </w:tr>
      <w:tr w14:paraId="3311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706" w:type="dxa"/>
            <w:noWrap w:val="0"/>
            <w:vAlign w:val="center"/>
          </w:tcPr>
          <w:p w14:paraId="651712D1">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1</w:t>
            </w:r>
          </w:p>
        </w:tc>
        <w:tc>
          <w:tcPr>
            <w:tcW w:w="1795" w:type="dxa"/>
            <w:noWrap w:val="0"/>
            <w:vAlign w:val="center"/>
          </w:tcPr>
          <w:p w14:paraId="2CE9054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工作人员配置</w:t>
            </w:r>
            <w:r>
              <w:rPr>
                <w:rFonts w:hint="eastAsia" w:ascii="宋体" w:hAnsi="宋体" w:eastAsia="宋体" w:cs="宋体"/>
                <w:color w:val="auto"/>
                <w:sz w:val="24"/>
                <w:szCs w:val="24"/>
                <w:highlight w:val="none"/>
                <w:lang w:val="en-US" w:eastAsia="zh-CN"/>
              </w:rPr>
              <w:t>方案</w:t>
            </w:r>
          </w:p>
        </w:tc>
        <w:tc>
          <w:tcPr>
            <w:tcW w:w="780" w:type="dxa"/>
            <w:noWrap w:val="0"/>
            <w:vAlign w:val="center"/>
          </w:tcPr>
          <w:p w14:paraId="620265AE">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957" w:type="dxa"/>
            <w:noWrap w:val="0"/>
            <w:vAlign w:val="center"/>
          </w:tcPr>
          <w:p w14:paraId="7DA26364">
            <w:pPr>
              <w:pStyle w:val="299"/>
              <w:keepNext w:val="0"/>
              <w:keepLines w:val="0"/>
              <w:pageBreakBefore w:val="0"/>
              <w:framePr w:wrap="auto" w:vAnchor="margin" w:hAnchor="text" w:yAlign="inline"/>
              <w:tabs>
                <w:tab w:val="left" w:pos="2700"/>
              </w:tabs>
              <w:spacing w:line="360" w:lineRule="auto"/>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工作人员配置合理，组织管理体系科学，能够有效实施管理工作。组织机构配备齐全并合理安排岗位（最高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方案完整具体且可行性强的得6分，方案基本完整且具有一定可行性的得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分，方案欠缺或可行性较差的得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022C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06" w:type="dxa"/>
            <w:noWrap w:val="0"/>
            <w:vAlign w:val="center"/>
          </w:tcPr>
          <w:p w14:paraId="695C4BB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795" w:type="dxa"/>
            <w:noWrap w:val="0"/>
            <w:vAlign w:val="center"/>
          </w:tcPr>
          <w:p w14:paraId="70C10DFC">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菜肴、点心品种花样</w:t>
            </w:r>
            <w:r>
              <w:rPr>
                <w:rFonts w:hint="eastAsia" w:ascii="宋体" w:hAnsi="宋体" w:eastAsia="宋体" w:cs="宋体"/>
                <w:color w:val="auto"/>
                <w:sz w:val="24"/>
                <w:szCs w:val="24"/>
                <w:highlight w:val="none"/>
                <w:lang w:val="en-US" w:eastAsia="zh-CN"/>
              </w:rPr>
              <w:t>方案</w:t>
            </w:r>
          </w:p>
        </w:tc>
        <w:tc>
          <w:tcPr>
            <w:tcW w:w="780" w:type="dxa"/>
            <w:noWrap w:val="0"/>
            <w:vAlign w:val="center"/>
          </w:tcPr>
          <w:p w14:paraId="70E765E1">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957" w:type="dxa"/>
            <w:noWrap w:val="0"/>
            <w:vAlign w:val="center"/>
          </w:tcPr>
          <w:p w14:paraId="461F5C03">
            <w:pPr>
              <w:pStyle w:val="269"/>
              <w:spacing w:line="360" w:lineRule="auto"/>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提供相应的菜肴、点心品种花样（最高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品种丰富得6分，品种一般得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分，品种单一得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未提供不得分。</w:t>
            </w:r>
          </w:p>
        </w:tc>
      </w:tr>
      <w:tr w14:paraId="05845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706" w:type="dxa"/>
            <w:noWrap w:val="0"/>
            <w:vAlign w:val="center"/>
          </w:tcPr>
          <w:p w14:paraId="667D7C1A">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795" w:type="dxa"/>
            <w:noWrap w:val="0"/>
            <w:vAlign w:val="center"/>
          </w:tcPr>
          <w:p w14:paraId="791B4D1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合理拟定菜品营养配比</w:t>
            </w:r>
            <w:r>
              <w:rPr>
                <w:rFonts w:hint="eastAsia" w:ascii="宋体" w:hAnsi="宋体" w:eastAsia="宋体" w:cs="宋体"/>
                <w:color w:val="auto"/>
                <w:sz w:val="24"/>
                <w:szCs w:val="24"/>
                <w:highlight w:val="none"/>
                <w:lang w:val="en-US" w:eastAsia="zh-CN"/>
              </w:rPr>
              <w:t>方案</w:t>
            </w:r>
          </w:p>
        </w:tc>
        <w:tc>
          <w:tcPr>
            <w:tcW w:w="780" w:type="dxa"/>
            <w:noWrap w:val="0"/>
            <w:vAlign w:val="center"/>
          </w:tcPr>
          <w:p w14:paraId="47203B50">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957" w:type="dxa"/>
            <w:noWrap w:val="0"/>
            <w:vAlign w:val="center"/>
          </w:tcPr>
          <w:p w14:paraId="6261B48D">
            <w:pPr>
              <w:pStyle w:val="269"/>
              <w:spacing w:line="360" w:lineRule="auto"/>
              <w:ind w:firstLine="0"/>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合理拟定菜品营养配比（最高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营养搭配均衡，可行性强的得6分，营养搭配较好，具有一定可行性的得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分，营养搭配一般，可行性较差的得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5D54B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06" w:type="dxa"/>
            <w:noWrap w:val="0"/>
            <w:vAlign w:val="center"/>
          </w:tcPr>
          <w:p w14:paraId="73906B15">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795" w:type="dxa"/>
            <w:noWrap w:val="0"/>
            <w:vAlign w:val="center"/>
          </w:tcPr>
          <w:p w14:paraId="789228E7">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客服稽查体系</w:t>
            </w:r>
          </w:p>
        </w:tc>
        <w:tc>
          <w:tcPr>
            <w:tcW w:w="780" w:type="dxa"/>
            <w:noWrap w:val="0"/>
            <w:vAlign w:val="center"/>
          </w:tcPr>
          <w:p w14:paraId="7431DD5A">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57" w:type="dxa"/>
            <w:noWrap w:val="0"/>
            <w:vAlign w:val="center"/>
          </w:tcPr>
          <w:p w14:paraId="62AA1635">
            <w:pPr>
              <w:pStyle w:val="299"/>
              <w:keepNext w:val="0"/>
              <w:keepLines w:val="0"/>
              <w:pageBreakBefore w:val="0"/>
              <w:framePr w:wrap="auto" w:vAnchor="margin" w:hAnchor="text" w:yAlign="inline"/>
              <w:numPr>
                <w:ilvl w:val="0"/>
                <w:numId w:val="0"/>
              </w:numPr>
              <w:tabs>
                <w:tab w:val="left" w:pos="2700"/>
              </w:tabs>
              <w:spacing w:line="360" w:lineRule="auto"/>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有完整客服稽查体系，提供针对性满意度调查并提供完整满意度管理流程。（最高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方案完整具体且可行性强的得3分，方案基本完整且具有一定可行性的得2分，方案欠缺或可行性较差的得1分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2AB8C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jc w:val="center"/>
        </w:trPr>
        <w:tc>
          <w:tcPr>
            <w:tcW w:w="706" w:type="dxa"/>
            <w:noWrap w:val="0"/>
            <w:vAlign w:val="center"/>
          </w:tcPr>
          <w:p w14:paraId="7D088BCD">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795" w:type="dxa"/>
            <w:noWrap w:val="0"/>
            <w:vAlign w:val="center"/>
          </w:tcPr>
          <w:p w14:paraId="4CF0481C">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采购原料的索证制度</w:t>
            </w:r>
          </w:p>
        </w:tc>
        <w:tc>
          <w:tcPr>
            <w:tcW w:w="780" w:type="dxa"/>
            <w:noWrap w:val="0"/>
            <w:vAlign w:val="center"/>
          </w:tcPr>
          <w:p w14:paraId="38ACE794">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957" w:type="dxa"/>
            <w:noWrap w:val="0"/>
            <w:vAlign w:val="center"/>
          </w:tcPr>
          <w:p w14:paraId="5B27FC88">
            <w:pPr>
              <w:pStyle w:val="299"/>
              <w:keepNext w:val="0"/>
              <w:keepLines w:val="0"/>
              <w:pageBreakBefore w:val="0"/>
              <w:framePr w:wrap="auto" w:vAnchor="margin" w:hAnchor="text" w:yAlign="inline"/>
              <w:numPr>
                <w:ilvl w:val="0"/>
                <w:numId w:val="0"/>
              </w:numPr>
              <w:tabs>
                <w:tab w:val="left" w:pos="2700"/>
              </w:tabs>
              <w:spacing w:line="360" w:lineRule="auto"/>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采购原料的索证制度齐全（最高</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追溯源齐全、有严格的仓库管理制度要求，食品先进先出优秀的得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分，追溯源齐全、有严格的仓库管理制度要求，食品先进先出的较好得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分，追溯源齐全、有严格的仓库管理制度要求，食品先进先出较一般得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7D6D5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noWrap w:val="0"/>
            <w:vAlign w:val="center"/>
          </w:tcPr>
          <w:p w14:paraId="70F95600">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795" w:type="dxa"/>
            <w:noWrap w:val="0"/>
            <w:vAlign w:val="center"/>
          </w:tcPr>
          <w:p w14:paraId="77898D4E">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食品安全管理执行六项管理模式</w:t>
            </w:r>
          </w:p>
        </w:tc>
        <w:tc>
          <w:tcPr>
            <w:tcW w:w="780" w:type="dxa"/>
            <w:noWrap w:val="0"/>
            <w:vAlign w:val="center"/>
          </w:tcPr>
          <w:p w14:paraId="3E394B1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7" w:type="dxa"/>
            <w:noWrap w:val="0"/>
            <w:vAlign w:val="center"/>
          </w:tcPr>
          <w:p w14:paraId="45D450A8">
            <w:pPr>
              <w:pStyle w:val="269"/>
              <w:spacing w:line="360" w:lineRule="auto"/>
              <w:ind w:firstLine="0"/>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食品安全管理执行六项管理模式，清洁卫生符合相关要求（最高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5分）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方案完整具体且可行性强的得5分，方案基本完整且具有一定可行性的得3分，方案欠缺或可行性较差的得1分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0180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1" w:hRule="atLeast"/>
          <w:jc w:val="center"/>
        </w:trPr>
        <w:tc>
          <w:tcPr>
            <w:tcW w:w="706" w:type="dxa"/>
            <w:noWrap w:val="0"/>
            <w:vAlign w:val="center"/>
          </w:tcPr>
          <w:p w14:paraId="15A81CA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795" w:type="dxa"/>
            <w:noWrap w:val="0"/>
            <w:vAlign w:val="center"/>
          </w:tcPr>
          <w:p w14:paraId="6A2A2786">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质量管理制度和卫生管理制度以及内部员工奖惩制度</w:t>
            </w:r>
          </w:p>
        </w:tc>
        <w:tc>
          <w:tcPr>
            <w:tcW w:w="780" w:type="dxa"/>
            <w:noWrap w:val="0"/>
            <w:vAlign w:val="center"/>
          </w:tcPr>
          <w:p w14:paraId="3D4E9186">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57" w:type="dxa"/>
            <w:noWrap w:val="0"/>
            <w:vAlign w:val="center"/>
          </w:tcPr>
          <w:p w14:paraId="0B8AF3A8">
            <w:pPr>
              <w:pStyle w:val="269"/>
              <w:spacing w:line="360" w:lineRule="auto"/>
              <w:ind w:firstLine="0"/>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质量管理制度和卫生管理制度以及内部员工奖惩制度（最高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方案完整具体且可行性强的得3分，方案基本完整且具有一定可行性的得2分，方案欠缺或可行性较差的得1分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76C8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atLeast"/>
          <w:jc w:val="center"/>
        </w:trPr>
        <w:tc>
          <w:tcPr>
            <w:tcW w:w="706" w:type="dxa"/>
            <w:noWrap w:val="0"/>
            <w:vAlign w:val="center"/>
          </w:tcPr>
          <w:p w14:paraId="3C7FFF1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795" w:type="dxa"/>
            <w:noWrap w:val="0"/>
            <w:vAlign w:val="center"/>
          </w:tcPr>
          <w:p w14:paraId="23CB500E">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对本项目制作的日常管理流程</w:t>
            </w:r>
          </w:p>
        </w:tc>
        <w:tc>
          <w:tcPr>
            <w:tcW w:w="780" w:type="dxa"/>
            <w:noWrap w:val="0"/>
            <w:vAlign w:val="center"/>
          </w:tcPr>
          <w:p w14:paraId="5E8AEE93">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7" w:type="dxa"/>
            <w:noWrap w:val="0"/>
            <w:vAlign w:val="center"/>
          </w:tcPr>
          <w:p w14:paraId="041268A8">
            <w:pPr>
              <w:pStyle w:val="299"/>
              <w:keepNext w:val="0"/>
              <w:keepLines w:val="0"/>
              <w:pageBreakBefore w:val="0"/>
              <w:framePr w:wrap="auto" w:vAnchor="margin" w:hAnchor="text" w:yAlign="inline"/>
              <w:numPr>
                <w:ilvl w:val="0"/>
                <w:numId w:val="0"/>
              </w:numPr>
              <w:tabs>
                <w:tab w:val="left" w:pos="2700"/>
              </w:tabs>
              <w:spacing w:line="360" w:lineRule="auto"/>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rPr>
              <w:t>对本项目制作的日常管理流程（最高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5分）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流程图或流程方案（每个流程落实到人）的详实性、可行性强的得5分，流程图或流程方案（每个流程落实到人）的详实性、可行性较强的得3分，流程图或流程方案的详实性一般、可行性一般的得1分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1A7E3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706" w:type="dxa"/>
            <w:noWrap w:val="0"/>
            <w:vAlign w:val="center"/>
          </w:tcPr>
          <w:p w14:paraId="27DB40A1">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795" w:type="dxa"/>
            <w:noWrap w:val="0"/>
            <w:vAlign w:val="center"/>
          </w:tcPr>
          <w:p w14:paraId="0E4C7286">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节能方面的奖惩措施</w:t>
            </w:r>
          </w:p>
        </w:tc>
        <w:tc>
          <w:tcPr>
            <w:tcW w:w="780" w:type="dxa"/>
            <w:noWrap w:val="0"/>
            <w:vAlign w:val="center"/>
          </w:tcPr>
          <w:p w14:paraId="57041DFA">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5957" w:type="dxa"/>
            <w:noWrap w:val="0"/>
            <w:vAlign w:val="center"/>
          </w:tcPr>
          <w:p w14:paraId="04DD3FD0">
            <w:pPr>
              <w:pStyle w:val="269"/>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有节能方面的奖惩措施（最高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节能节约计划和管理措施具有可操作性，操作性强的得</w:t>
            </w: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分，操作性较好的得</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分，操作性一般的得</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r w14:paraId="23A7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06" w:type="dxa"/>
            <w:noWrap w:val="0"/>
            <w:vAlign w:val="center"/>
          </w:tcPr>
          <w:p w14:paraId="0AEE90F1">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795" w:type="dxa"/>
            <w:noWrap w:val="0"/>
            <w:vAlign w:val="center"/>
          </w:tcPr>
          <w:p w14:paraId="43F9765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突发事件紧急预案</w:t>
            </w:r>
          </w:p>
        </w:tc>
        <w:tc>
          <w:tcPr>
            <w:tcW w:w="780" w:type="dxa"/>
            <w:noWrap w:val="0"/>
            <w:vAlign w:val="center"/>
          </w:tcPr>
          <w:p w14:paraId="38DADE87">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57" w:type="dxa"/>
            <w:noWrap w:val="0"/>
            <w:vAlign w:val="center"/>
          </w:tcPr>
          <w:p w14:paraId="71EA1C5F">
            <w:pPr>
              <w:pStyle w:val="269"/>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有突发事件紧急预案（最高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5分）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应急预案较突出的得5分，应急预案较好的得3分，应急预案较一般的得1分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未提供不得分。</w:t>
            </w:r>
          </w:p>
        </w:tc>
      </w:tr>
    </w:tbl>
    <w:p w14:paraId="13540BB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22CA591">
      <w:pPr>
        <w:keepNext w:val="0"/>
        <w:keepLines w:val="0"/>
        <w:pageBreakBefore w:val="0"/>
        <w:spacing w:line="360" w:lineRule="auto"/>
        <w:ind w:firstLine="48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2、商务资信部分</w:t>
      </w:r>
      <w:r>
        <w:rPr>
          <w:rFonts w:hint="eastAsia" w:ascii="宋体" w:hAnsi="宋体" w:cs="宋体"/>
          <w:color w:val="auto"/>
          <w:sz w:val="24"/>
          <w:szCs w:val="24"/>
          <w:highlight w:val="none"/>
          <w:lang w:val="en-US" w:eastAsia="zh-CN"/>
        </w:rPr>
        <w:t>39</w:t>
      </w:r>
      <w:r>
        <w:rPr>
          <w:rFonts w:hint="eastAsia" w:ascii="宋体" w:hAnsi="宋体" w:eastAsia="宋体" w:cs="宋体"/>
          <w:color w:val="auto"/>
          <w:sz w:val="24"/>
          <w:szCs w:val="24"/>
          <w:highlight w:val="none"/>
        </w:rPr>
        <w:t>分</w:t>
      </w:r>
    </w:p>
    <w:tbl>
      <w:tblPr>
        <w:tblStyle w:val="38"/>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786"/>
        <w:gridCol w:w="765"/>
        <w:gridCol w:w="5962"/>
      </w:tblGrid>
      <w:tr w14:paraId="2B158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05" w:type="dxa"/>
            <w:noWrap w:val="0"/>
            <w:vAlign w:val="center"/>
          </w:tcPr>
          <w:p w14:paraId="3D312015">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序号</w:t>
            </w:r>
          </w:p>
        </w:tc>
        <w:tc>
          <w:tcPr>
            <w:tcW w:w="1786" w:type="dxa"/>
            <w:noWrap w:val="0"/>
            <w:vAlign w:val="center"/>
          </w:tcPr>
          <w:p w14:paraId="53A4D780">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评审因素</w:t>
            </w:r>
          </w:p>
        </w:tc>
        <w:tc>
          <w:tcPr>
            <w:tcW w:w="765" w:type="dxa"/>
            <w:noWrap w:val="0"/>
            <w:vAlign w:val="center"/>
          </w:tcPr>
          <w:p w14:paraId="0B9098C1">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分值</w:t>
            </w:r>
          </w:p>
        </w:tc>
        <w:tc>
          <w:tcPr>
            <w:tcW w:w="5962" w:type="dxa"/>
            <w:noWrap w:val="0"/>
            <w:vAlign w:val="center"/>
          </w:tcPr>
          <w:p w14:paraId="0FA6FBA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评分标准</w:t>
            </w:r>
          </w:p>
        </w:tc>
      </w:tr>
      <w:tr w14:paraId="0A3B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705" w:type="dxa"/>
            <w:noWrap w:val="0"/>
            <w:vAlign w:val="center"/>
          </w:tcPr>
          <w:p w14:paraId="1257D37D">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786" w:type="dxa"/>
            <w:noWrap w:val="0"/>
            <w:vAlign w:val="center"/>
          </w:tcPr>
          <w:p w14:paraId="6D3B91C2">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拟派项目经理</w:t>
            </w:r>
          </w:p>
        </w:tc>
        <w:tc>
          <w:tcPr>
            <w:tcW w:w="765" w:type="dxa"/>
            <w:noWrap w:val="0"/>
            <w:vAlign w:val="center"/>
          </w:tcPr>
          <w:p w14:paraId="0E9AAA3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5962" w:type="dxa"/>
            <w:noWrap w:val="0"/>
            <w:vAlign w:val="center"/>
          </w:tcPr>
          <w:p w14:paraId="02282DDC">
            <w:pPr>
              <w:pStyle w:val="269"/>
              <w:keepNext w:val="0"/>
              <w:keepLines w:val="0"/>
              <w:pageBreakBefore w:val="0"/>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拟派的项目经理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响应文件中</w:t>
            </w:r>
            <w:r>
              <w:rPr>
                <w:rFonts w:hint="eastAsia" w:ascii="宋体" w:hAnsi="宋体" w:eastAsia="宋体" w:cs="宋体"/>
                <w:color w:val="auto"/>
                <w:sz w:val="24"/>
                <w:szCs w:val="24"/>
                <w:highlight w:val="none"/>
              </w:rPr>
              <w:t>需提供证书复印件和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为其缴纳的近6个月社保证明，未提供该项不得分（最高</w:t>
            </w:r>
            <w:r>
              <w:rPr>
                <w:rFonts w:hint="eastAsia" w:ascii="宋体" w:hAnsi="宋体" w:eastAsia="宋体" w:cs="宋体"/>
                <w:color w:val="auto"/>
                <w:sz w:val="24"/>
                <w:szCs w:val="24"/>
                <w:highlight w:val="none"/>
                <w:lang w:val="en-US" w:eastAsia="zh-CN"/>
              </w:rPr>
              <w:t>得9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83CB67D">
            <w:pPr>
              <w:pStyle w:val="269"/>
              <w:keepNext w:val="0"/>
              <w:keepLines w:val="0"/>
              <w:pageBreakBefore w:val="0"/>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①具备大专及以上学历的得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65B485EA">
            <w:pPr>
              <w:pStyle w:val="269"/>
              <w:keepNext w:val="0"/>
              <w:keepLines w:val="0"/>
              <w:pageBreakBefore w:val="0"/>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②具有高级餐饮职业经理人证书得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ACE79A1">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③具有厨师资格证书得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hAnsi="宋体" w:cs="宋体"/>
                <w:color w:val="auto"/>
                <w:sz w:val="24"/>
                <w:szCs w:val="24"/>
                <w:highlight w:val="none"/>
                <w:lang w:eastAsia="zh-CN"/>
              </w:rPr>
              <w:t>。</w:t>
            </w:r>
          </w:p>
        </w:tc>
      </w:tr>
      <w:tr w14:paraId="2C5A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705" w:type="dxa"/>
            <w:noWrap w:val="0"/>
            <w:vAlign w:val="center"/>
          </w:tcPr>
          <w:p w14:paraId="50B86776">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786" w:type="dxa"/>
            <w:noWrap w:val="0"/>
            <w:vAlign w:val="center"/>
          </w:tcPr>
          <w:p w14:paraId="497C2E5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拟派其他的食堂工作人员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除项目经理外</w:t>
            </w:r>
            <w:r>
              <w:rPr>
                <w:rFonts w:hint="eastAsia" w:ascii="宋体" w:hAnsi="宋体" w:eastAsia="宋体" w:cs="宋体"/>
                <w:color w:val="auto"/>
                <w:sz w:val="24"/>
                <w:szCs w:val="24"/>
                <w:highlight w:val="none"/>
                <w:lang w:eastAsia="zh-CN"/>
              </w:rPr>
              <w:t>）</w:t>
            </w:r>
          </w:p>
        </w:tc>
        <w:tc>
          <w:tcPr>
            <w:tcW w:w="765" w:type="dxa"/>
            <w:noWrap w:val="0"/>
            <w:vAlign w:val="center"/>
          </w:tcPr>
          <w:p w14:paraId="3F2EFCAA">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5962" w:type="dxa"/>
            <w:noWrap w:val="0"/>
            <w:vAlign w:val="center"/>
          </w:tcPr>
          <w:p w14:paraId="469D0678">
            <w:pPr>
              <w:pStyle w:val="269"/>
              <w:keepNext w:val="0"/>
              <w:keepLines w:val="0"/>
              <w:pageBreakBefore w:val="0"/>
              <w:spacing w:line="360" w:lineRule="auto"/>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拟派其他的食堂工作人员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响应文件中</w:t>
            </w:r>
            <w:r>
              <w:rPr>
                <w:rFonts w:hint="eastAsia" w:ascii="宋体" w:hAnsi="宋体" w:eastAsia="宋体" w:cs="宋体"/>
                <w:color w:val="auto"/>
                <w:sz w:val="24"/>
                <w:szCs w:val="24"/>
                <w:highlight w:val="none"/>
              </w:rPr>
              <w:t>需提供证书复印件</w:t>
            </w:r>
            <w:r>
              <w:rPr>
                <w:rFonts w:hint="eastAsia" w:ascii="宋体" w:hAnsi="宋体" w:eastAsia="宋体" w:cs="宋体"/>
                <w:color w:val="auto"/>
                <w:sz w:val="24"/>
                <w:szCs w:val="24"/>
                <w:highlight w:val="none"/>
              </w:rPr>
              <w:t>和供应商为其缴纳的近6个月社保证明</w:t>
            </w:r>
            <w:r>
              <w:rPr>
                <w:rFonts w:hint="eastAsia" w:ascii="宋体" w:hAnsi="宋体" w:eastAsia="宋体" w:cs="宋体"/>
                <w:color w:val="auto"/>
                <w:sz w:val="24"/>
                <w:szCs w:val="24"/>
                <w:highlight w:val="none"/>
              </w:rPr>
              <w:t>，未提供该项不得分（最高</w:t>
            </w:r>
            <w:r>
              <w:rPr>
                <w:rFonts w:hint="eastAsia" w:ascii="宋体" w:hAnsi="宋体" w:eastAsia="宋体" w:cs="宋体"/>
                <w:color w:val="auto"/>
                <w:sz w:val="24"/>
                <w:szCs w:val="24"/>
                <w:highlight w:val="none"/>
                <w:lang w:val="en-US" w:eastAsia="zh-CN"/>
              </w:rPr>
              <w:t>得</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7D99BF90">
            <w:pPr>
              <w:pStyle w:val="269"/>
              <w:keepNext w:val="0"/>
              <w:keepLines w:val="0"/>
              <w:pageBreakBefore w:val="0"/>
              <w:spacing w:line="360" w:lineRule="auto"/>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2.2.1</w:t>
            </w:r>
            <w:r>
              <w:rPr>
                <w:rFonts w:hint="eastAsia" w:ascii="宋体" w:hAnsi="宋体" w:eastAsia="宋体" w:cs="宋体"/>
                <w:color w:val="auto"/>
                <w:sz w:val="24"/>
                <w:szCs w:val="24"/>
                <w:highlight w:val="none"/>
              </w:rPr>
              <w:t>厨师长</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w:t>
            </w:r>
            <w:r>
              <w:rPr>
                <w:rFonts w:hint="eastAsia" w:ascii="宋体" w:hAnsi="宋体" w:eastAsia="宋体" w:cs="宋体"/>
                <w:color w:val="auto"/>
                <w:sz w:val="24"/>
                <w:szCs w:val="24"/>
                <w:highlight w:val="none"/>
                <w:lang w:val="en-US" w:eastAsia="zh-CN"/>
              </w:rPr>
              <w:t>得6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4693F04">
            <w:pPr>
              <w:pStyle w:val="269"/>
              <w:keepNext w:val="0"/>
              <w:keepLines w:val="0"/>
              <w:pageBreakBefore w:val="0"/>
              <w:spacing w:line="360" w:lineRule="auto"/>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①具有中式烹调师高级</w:t>
            </w:r>
            <w:r>
              <w:rPr>
                <w:rFonts w:hint="eastAsia" w:ascii="宋体" w:hAnsi="宋体" w:eastAsia="宋体" w:cs="宋体"/>
                <w:color w:val="auto"/>
                <w:sz w:val="24"/>
                <w:szCs w:val="24"/>
                <w:highlight w:val="none"/>
                <w:lang w:val="en-US" w:eastAsia="zh-CN"/>
              </w:rPr>
              <w:t>技师</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得2分；</w:t>
            </w:r>
          </w:p>
          <w:p w14:paraId="33E9C6AE">
            <w:pPr>
              <w:pStyle w:val="269"/>
              <w:keepNext w:val="0"/>
              <w:keepLines w:val="0"/>
              <w:pageBreakBefore w:val="0"/>
              <w:spacing w:line="360" w:lineRule="auto"/>
              <w:ind w:lef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②具有</w:t>
            </w:r>
            <w:r>
              <w:rPr>
                <w:rFonts w:hint="eastAsia" w:hAnsi="宋体" w:cs="宋体"/>
                <w:color w:val="auto"/>
                <w:sz w:val="24"/>
                <w:szCs w:val="24"/>
                <w:highlight w:val="none"/>
                <w:lang w:val="en-US" w:eastAsia="zh-CN"/>
              </w:rPr>
              <w:t>公共营养师</w:t>
            </w:r>
            <w:r>
              <w:rPr>
                <w:rFonts w:hint="eastAsia" w:ascii="宋体" w:hAnsi="宋体" w:eastAsia="宋体" w:cs="宋体"/>
                <w:color w:val="auto"/>
                <w:sz w:val="24"/>
                <w:szCs w:val="24"/>
                <w:highlight w:val="none"/>
              </w:rPr>
              <w:t>高级</w:t>
            </w:r>
            <w:r>
              <w:rPr>
                <w:rFonts w:hint="eastAsia" w:ascii="宋体" w:hAnsi="宋体" w:eastAsia="宋体" w:cs="宋体"/>
                <w:color w:val="auto"/>
                <w:sz w:val="24"/>
                <w:szCs w:val="24"/>
                <w:highlight w:val="none"/>
                <w:lang w:val="en-US" w:eastAsia="zh-CN"/>
              </w:rPr>
              <w:t>技师</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得2分</w:t>
            </w:r>
            <w:r>
              <w:rPr>
                <w:rFonts w:hint="eastAsia" w:ascii="宋体" w:hAnsi="宋体" w:eastAsia="宋体" w:cs="宋体"/>
                <w:color w:val="auto"/>
                <w:sz w:val="24"/>
                <w:szCs w:val="24"/>
                <w:highlight w:val="none"/>
                <w:lang w:eastAsia="zh-CN"/>
              </w:rPr>
              <w:t>；</w:t>
            </w:r>
          </w:p>
          <w:p w14:paraId="7799FD57">
            <w:pPr>
              <w:pStyle w:val="269"/>
              <w:keepNext w:val="0"/>
              <w:keepLines w:val="0"/>
              <w:pageBreakBefore w:val="0"/>
              <w:spacing w:line="360" w:lineRule="auto"/>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③获得省级或以上</w:t>
            </w:r>
            <w:r>
              <w:rPr>
                <w:rFonts w:hint="eastAsia" w:hAnsi="宋体" w:cs="宋体"/>
                <w:color w:val="auto"/>
                <w:sz w:val="24"/>
                <w:szCs w:val="24"/>
                <w:highlight w:val="none"/>
                <w:lang w:val="en-US" w:eastAsia="zh-CN"/>
              </w:rPr>
              <w:t>荣誉证书</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w:t>
            </w:r>
          </w:p>
          <w:p w14:paraId="27B944B6">
            <w:pPr>
              <w:pStyle w:val="269"/>
              <w:keepNext w:val="0"/>
              <w:keepLines w:val="0"/>
              <w:pageBreakBefore w:val="0"/>
              <w:spacing w:line="360" w:lineRule="auto"/>
              <w:ind w:lef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2.2.2</w:t>
            </w:r>
            <w:r>
              <w:rPr>
                <w:rFonts w:hint="eastAsia" w:ascii="宋体" w:hAnsi="宋体" w:eastAsia="宋体" w:cs="宋体"/>
                <w:color w:val="auto"/>
                <w:sz w:val="24"/>
                <w:szCs w:val="24"/>
                <w:highlight w:val="none"/>
              </w:rPr>
              <w:t>除厨师长外，拟投入本项目人员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w:t>
            </w:r>
            <w:r>
              <w:rPr>
                <w:rFonts w:hint="eastAsia" w:ascii="宋体" w:hAnsi="宋体" w:eastAsia="宋体" w:cs="宋体"/>
                <w:color w:val="auto"/>
                <w:sz w:val="24"/>
                <w:szCs w:val="24"/>
                <w:highlight w:val="none"/>
                <w:lang w:val="en-US" w:eastAsia="zh-CN"/>
              </w:rPr>
              <w:t>得7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807072E">
            <w:pPr>
              <w:pStyle w:val="269"/>
              <w:keepNext w:val="0"/>
              <w:keepLines w:val="0"/>
              <w:pageBreakBefore w:val="0"/>
              <w:spacing w:line="360" w:lineRule="auto"/>
              <w:ind w:lef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①具有中式点心师三级/高级技能</w:t>
            </w:r>
            <w:r>
              <w:rPr>
                <w:rFonts w:hint="eastAsia"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以上的，有一个得2分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最高得</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AFA3E82">
            <w:pPr>
              <w:pStyle w:val="26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②具有中式烹调师</w:t>
            </w:r>
            <w:r>
              <w:rPr>
                <w:rFonts w:hint="eastAsia" w:hAnsi="宋体" w:cs="宋体"/>
                <w:color w:val="auto"/>
                <w:sz w:val="24"/>
                <w:szCs w:val="24"/>
                <w:highlight w:val="none"/>
                <w:lang w:val="en-US" w:eastAsia="zh-CN"/>
              </w:rPr>
              <w:t>三</w:t>
            </w:r>
            <w:r>
              <w:rPr>
                <w:rFonts w:hint="eastAsia" w:ascii="宋体" w:hAnsi="宋体" w:eastAsia="宋体" w:cs="宋体"/>
                <w:color w:val="auto"/>
                <w:sz w:val="24"/>
                <w:szCs w:val="24"/>
                <w:highlight w:val="none"/>
              </w:rPr>
              <w:t>级/</w:t>
            </w:r>
            <w:r>
              <w:rPr>
                <w:rFonts w:hint="eastAsia" w:hAnsi="宋体" w:cs="宋体"/>
                <w:color w:val="auto"/>
                <w:sz w:val="24"/>
                <w:szCs w:val="24"/>
                <w:highlight w:val="none"/>
                <w:lang w:val="en-US" w:eastAsia="zh-CN"/>
              </w:rPr>
              <w:t>高</w:t>
            </w:r>
            <w:r>
              <w:rPr>
                <w:rFonts w:hint="eastAsia" w:ascii="宋体" w:hAnsi="宋体" w:eastAsia="宋体" w:cs="宋体"/>
                <w:color w:val="auto"/>
                <w:sz w:val="24"/>
                <w:szCs w:val="24"/>
                <w:highlight w:val="none"/>
              </w:rPr>
              <w:t>级</w:t>
            </w:r>
            <w:r>
              <w:rPr>
                <w:rFonts w:hint="eastAsia" w:ascii="宋体" w:hAnsi="宋体" w:eastAsia="宋体" w:cs="宋体"/>
                <w:color w:val="auto"/>
                <w:sz w:val="24"/>
                <w:szCs w:val="24"/>
                <w:highlight w:val="none"/>
              </w:rPr>
              <w:t>技能</w:t>
            </w:r>
            <w:r>
              <w:rPr>
                <w:rFonts w:hint="eastAsia" w:hAnsi="宋体" w:cs="宋体"/>
                <w:color w:val="auto"/>
                <w:sz w:val="24"/>
                <w:szCs w:val="24"/>
                <w:highlight w:val="none"/>
                <w:lang w:val="en-US" w:eastAsia="zh-CN"/>
              </w:rPr>
              <w:t>及</w:t>
            </w:r>
            <w:r>
              <w:rPr>
                <w:rFonts w:hint="eastAsia" w:ascii="宋体" w:hAnsi="宋体" w:eastAsia="宋体" w:cs="宋体"/>
                <w:color w:val="auto"/>
                <w:sz w:val="24"/>
                <w:szCs w:val="24"/>
                <w:highlight w:val="none"/>
              </w:rPr>
              <w:t>以上的，每提供一个得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611ED5E">
            <w:pPr>
              <w:pStyle w:val="269"/>
              <w:keepNext w:val="0"/>
              <w:keepLines w:val="0"/>
              <w:pageBreakBefore w:val="0"/>
              <w:spacing w:line="360" w:lineRule="auto"/>
              <w:ind w:left="0"/>
              <w:rPr>
                <w:rFonts w:hint="eastAsia"/>
                <w:color w:val="auto"/>
                <w:highlight w:val="none"/>
                <w:lang w:val="en-US" w:eastAsia="zh-CN"/>
              </w:rPr>
            </w:pPr>
            <w:r>
              <w:rPr>
                <w:rFonts w:hint="eastAsia" w:ascii="宋体" w:hAnsi="宋体" w:eastAsia="宋体" w:cs="宋体"/>
                <w:color w:val="auto"/>
                <w:sz w:val="24"/>
                <w:szCs w:val="24"/>
                <w:highlight w:val="none"/>
              </w:rPr>
              <w:t>③</w:t>
            </w:r>
            <w:r>
              <w:rPr>
                <w:rFonts w:hint="eastAsia" w:ascii="宋体" w:hAnsi="宋体" w:eastAsia="宋体" w:cs="宋体"/>
                <w:color w:val="auto"/>
                <w:sz w:val="24"/>
                <w:szCs w:val="24"/>
                <w:highlight w:val="none"/>
                <w:lang w:val="en-US" w:eastAsia="zh-CN"/>
              </w:rPr>
              <w:t>具有国家市场监督总局颁发的食品安全总监证书</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rPr>
              <w:t>；</w:t>
            </w:r>
          </w:p>
        </w:tc>
      </w:tr>
      <w:tr w14:paraId="51E5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705" w:type="dxa"/>
            <w:noWrap w:val="0"/>
            <w:vAlign w:val="center"/>
          </w:tcPr>
          <w:p w14:paraId="0F2941B0">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786" w:type="dxa"/>
            <w:noWrap w:val="0"/>
            <w:vAlign w:val="center"/>
          </w:tcPr>
          <w:p w14:paraId="62B04029">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荣誉证书</w:t>
            </w:r>
          </w:p>
        </w:tc>
        <w:tc>
          <w:tcPr>
            <w:tcW w:w="765" w:type="dxa"/>
            <w:noWrap w:val="0"/>
            <w:vAlign w:val="center"/>
          </w:tcPr>
          <w:p w14:paraId="131AB36D">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62" w:type="dxa"/>
            <w:noWrap w:val="0"/>
            <w:vAlign w:val="center"/>
          </w:tcPr>
          <w:p w14:paraId="2AA53FA7">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rPr>
              <w:t>20</w:t>
            </w:r>
            <w:r>
              <w:rPr>
                <w:rFonts w:hint="eastAsia" w:hAnsi="宋体" w:cs="宋体"/>
                <w:color w:val="auto"/>
                <w:sz w:val="24"/>
                <w:szCs w:val="24"/>
                <w:highlight w:val="none"/>
                <w:lang w:val="en-US" w:eastAsia="zh-CN"/>
              </w:rPr>
              <w:t>19</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rPr>
              <w:t>1月1日以来获得过省级及以上荣誉的，每提供一个得</w:t>
            </w:r>
            <w:r>
              <w:rPr>
                <w:rFonts w:hint="eastAsia"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获得过</w:t>
            </w:r>
            <w:r>
              <w:rPr>
                <w:rFonts w:hint="eastAsia" w:hAnsi="宋体" w:cs="宋体"/>
                <w:color w:val="auto"/>
                <w:sz w:val="24"/>
                <w:szCs w:val="24"/>
                <w:highlight w:val="none"/>
                <w:lang w:val="en-US" w:eastAsia="zh-CN"/>
              </w:rPr>
              <w:t>市</w:t>
            </w:r>
            <w:r>
              <w:rPr>
                <w:rFonts w:hint="eastAsia" w:ascii="宋体" w:hAnsi="宋体" w:eastAsia="宋体" w:cs="宋体"/>
                <w:color w:val="auto"/>
                <w:sz w:val="24"/>
                <w:szCs w:val="24"/>
                <w:highlight w:val="none"/>
              </w:rPr>
              <w:t>级及以</w:t>
            </w:r>
            <w:r>
              <w:rPr>
                <w:rFonts w:hint="eastAsia" w:hAnsi="宋体" w:cs="宋体"/>
                <w:color w:val="auto"/>
                <w:sz w:val="24"/>
                <w:szCs w:val="24"/>
                <w:highlight w:val="none"/>
                <w:lang w:val="en-US" w:eastAsia="zh-CN"/>
              </w:rPr>
              <w:t>下</w:t>
            </w:r>
            <w:r>
              <w:rPr>
                <w:rFonts w:hint="eastAsia" w:ascii="宋体" w:hAnsi="宋体" w:eastAsia="宋体" w:cs="宋体"/>
                <w:color w:val="auto"/>
                <w:sz w:val="24"/>
                <w:szCs w:val="24"/>
                <w:highlight w:val="none"/>
              </w:rPr>
              <w:t>荣誉的，每提供一个得</w:t>
            </w:r>
            <w:r>
              <w:rPr>
                <w:rFonts w:hint="eastAsia"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响应文件中</w:t>
            </w:r>
            <w:r>
              <w:rPr>
                <w:rFonts w:hint="eastAsia" w:ascii="宋体" w:hAnsi="宋体" w:eastAsia="宋体" w:cs="宋体"/>
                <w:color w:val="auto"/>
                <w:sz w:val="24"/>
                <w:szCs w:val="24"/>
                <w:highlight w:val="none"/>
              </w:rPr>
              <w:t>需提供</w:t>
            </w:r>
            <w:r>
              <w:rPr>
                <w:rFonts w:hint="eastAsia" w:ascii="宋体" w:hAnsi="宋体" w:eastAsia="宋体" w:cs="宋体"/>
                <w:color w:val="auto"/>
                <w:sz w:val="24"/>
                <w:szCs w:val="24"/>
                <w:highlight w:val="none"/>
                <w:lang w:val="en-US" w:eastAsia="zh-CN"/>
              </w:rPr>
              <w:t>荣誉证书复印件或其他证明材料复印件，否则不得分。</w:t>
            </w:r>
            <w:r>
              <w:rPr>
                <w:rFonts w:hint="eastAsia" w:ascii="宋体" w:hAnsi="宋体" w:eastAsia="宋体" w:cs="宋体"/>
                <w:color w:val="auto"/>
                <w:sz w:val="24"/>
                <w:szCs w:val="24"/>
                <w:highlight w:val="none"/>
                <w:lang w:eastAsia="zh-CN"/>
              </w:rPr>
              <w:t>）</w:t>
            </w:r>
          </w:p>
        </w:tc>
      </w:tr>
      <w:tr w14:paraId="11CD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705" w:type="dxa"/>
            <w:noWrap w:val="0"/>
            <w:vAlign w:val="center"/>
          </w:tcPr>
          <w:p w14:paraId="035660F5">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786" w:type="dxa"/>
            <w:noWrap w:val="0"/>
            <w:vAlign w:val="center"/>
          </w:tcPr>
          <w:p w14:paraId="65C198F2">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荣誉称号</w:t>
            </w:r>
          </w:p>
        </w:tc>
        <w:tc>
          <w:tcPr>
            <w:tcW w:w="765" w:type="dxa"/>
            <w:noWrap w:val="0"/>
            <w:vAlign w:val="center"/>
          </w:tcPr>
          <w:p w14:paraId="1D71C2B3">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62" w:type="dxa"/>
            <w:noWrap w:val="0"/>
            <w:vAlign w:val="center"/>
          </w:tcPr>
          <w:p w14:paraId="3051B205">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rPr>
              <w:t>2019</w:t>
            </w:r>
            <w:r>
              <w:rPr>
                <w:rFonts w:hint="eastAsia" w:ascii="宋体" w:hAnsi="宋体" w:eastAsia="宋体" w:cs="宋体"/>
                <w:color w:val="auto"/>
                <w:sz w:val="24"/>
                <w:szCs w:val="24"/>
                <w:highlight w:val="none"/>
              </w:rPr>
              <w:t>年1月1日以来，所服务的食堂在合同期内获得省级及以上荣誉称号，每提供一个得1分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获得</w:t>
            </w:r>
            <w:r>
              <w:rPr>
                <w:rFonts w:hint="eastAsia" w:hAnsi="宋体" w:cs="宋体"/>
                <w:color w:val="auto"/>
                <w:sz w:val="24"/>
                <w:szCs w:val="24"/>
                <w:highlight w:val="none"/>
                <w:lang w:val="en-US" w:eastAsia="zh-CN"/>
              </w:rPr>
              <w:t>市</w:t>
            </w:r>
            <w:r>
              <w:rPr>
                <w:rFonts w:hint="eastAsia" w:ascii="宋体" w:hAnsi="宋体" w:eastAsia="宋体" w:cs="宋体"/>
                <w:color w:val="auto"/>
                <w:sz w:val="24"/>
                <w:szCs w:val="24"/>
                <w:highlight w:val="none"/>
              </w:rPr>
              <w:t>级及以</w:t>
            </w:r>
            <w:r>
              <w:rPr>
                <w:rFonts w:hint="eastAsia" w:hAnsi="宋体" w:cs="宋体"/>
                <w:color w:val="auto"/>
                <w:sz w:val="24"/>
                <w:szCs w:val="24"/>
                <w:highlight w:val="none"/>
                <w:lang w:val="en-US" w:eastAsia="zh-CN"/>
              </w:rPr>
              <w:t>下</w:t>
            </w:r>
            <w:r>
              <w:rPr>
                <w:rFonts w:hint="eastAsia" w:ascii="宋体" w:hAnsi="宋体" w:eastAsia="宋体" w:cs="宋体"/>
                <w:color w:val="auto"/>
                <w:sz w:val="24"/>
                <w:szCs w:val="24"/>
                <w:highlight w:val="none"/>
              </w:rPr>
              <w:t>荣誉称号，每提供一个得</w:t>
            </w:r>
            <w:r>
              <w:rPr>
                <w:rFonts w:hint="eastAsia"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响应文件中</w:t>
            </w:r>
            <w:r>
              <w:rPr>
                <w:rFonts w:hint="eastAsia" w:ascii="宋体" w:hAnsi="宋体" w:eastAsia="宋体" w:cs="宋体"/>
                <w:color w:val="auto"/>
                <w:sz w:val="24"/>
                <w:szCs w:val="24"/>
                <w:highlight w:val="none"/>
              </w:rPr>
              <w:t>需提供服务合同及奖项证书复印件或相关机构文件复印</w:t>
            </w:r>
            <w:r>
              <w:rPr>
                <w:rFonts w:hint="eastAsia" w:ascii="宋体" w:hAnsi="宋体" w:eastAsia="宋体" w:cs="宋体"/>
                <w:color w:val="auto"/>
                <w:sz w:val="24"/>
                <w:szCs w:val="24"/>
                <w:highlight w:val="none"/>
                <w:lang w:val="en-US" w:eastAsia="zh-CN"/>
              </w:rPr>
              <w:t>件，否则不得分。</w:t>
            </w:r>
            <w:r>
              <w:rPr>
                <w:rFonts w:hint="eastAsia" w:ascii="宋体" w:hAnsi="宋体" w:eastAsia="宋体" w:cs="宋体"/>
                <w:color w:val="auto"/>
                <w:sz w:val="24"/>
                <w:szCs w:val="24"/>
                <w:highlight w:val="none"/>
                <w:lang w:eastAsia="zh-CN"/>
              </w:rPr>
              <w:t>）</w:t>
            </w:r>
          </w:p>
        </w:tc>
      </w:tr>
      <w:tr w14:paraId="00CE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05" w:type="dxa"/>
            <w:noWrap w:val="0"/>
            <w:vAlign w:val="center"/>
          </w:tcPr>
          <w:p w14:paraId="1BB2BC91">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786" w:type="dxa"/>
            <w:noWrap w:val="0"/>
            <w:vAlign w:val="center"/>
          </w:tcPr>
          <w:p w14:paraId="29020D5C">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政府主管部门表彰</w:t>
            </w:r>
          </w:p>
        </w:tc>
        <w:tc>
          <w:tcPr>
            <w:tcW w:w="765" w:type="dxa"/>
            <w:noWrap w:val="0"/>
            <w:vAlign w:val="center"/>
          </w:tcPr>
          <w:p w14:paraId="4774A4FF">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62" w:type="dxa"/>
            <w:noWrap w:val="0"/>
            <w:vAlign w:val="center"/>
          </w:tcPr>
          <w:p w14:paraId="2009A8D8">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rPr>
              <w:t>2019年</w:t>
            </w:r>
            <w:r>
              <w:rPr>
                <w:rFonts w:hint="eastAsia" w:ascii="宋体" w:hAnsi="宋体" w:eastAsia="宋体" w:cs="宋体"/>
                <w:color w:val="auto"/>
                <w:sz w:val="24"/>
                <w:szCs w:val="24"/>
                <w:highlight w:val="none"/>
              </w:rPr>
              <w:t>1月1日以来（时间以获奖时间为准），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因在重大突发事件的餐饮工作中表现优秀（或好）的被县级以上政府主管部门表彰的得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w:t>
            </w:r>
            <w:r>
              <w:rPr>
                <w:rFonts w:hint="eastAsia" w:ascii="宋体" w:hAnsi="宋体" w:eastAsia="宋体" w:cs="宋体"/>
                <w:color w:val="auto"/>
                <w:sz w:val="24"/>
                <w:szCs w:val="24"/>
                <w:highlight w:val="none"/>
                <w:lang w:val="en-US" w:eastAsia="zh-CN"/>
              </w:rPr>
              <w:t>得3</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（响应文件中</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提供获奖证书、批复、颁奖单位颁奖文件、网上公示截图（具有其中之一即可）等证明材料原件扫描件，须能体现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名称，如无法体现，须另附颁奖单位的相关证明材料，未提供或提供不全的不得分。）</w:t>
            </w:r>
          </w:p>
        </w:tc>
      </w:tr>
      <w:tr w14:paraId="58D8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705" w:type="dxa"/>
            <w:noWrap w:val="0"/>
            <w:vAlign w:val="center"/>
          </w:tcPr>
          <w:p w14:paraId="3E35FEEC">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786" w:type="dxa"/>
            <w:noWrap w:val="0"/>
            <w:vAlign w:val="center"/>
          </w:tcPr>
          <w:p w14:paraId="3823E712">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管理体系认证</w:t>
            </w:r>
          </w:p>
        </w:tc>
        <w:tc>
          <w:tcPr>
            <w:tcW w:w="765" w:type="dxa"/>
            <w:noWrap w:val="0"/>
            <w:vAlign w:val="center"/>
          </w:tcPr>
          <w:p w14:paraId="3E9C5F63">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5962" w:type="dxa"/>
            <w:noWrap w:val="0"/>
            <w:vAlign w:val="center"/>
          </w:tcPr>
          <w:p w14:paraId="18E866AA">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通过有效期内的食品安全管理体系认证、质量管理体系认证、环境管理体系认证、职业健康安全管理体系认证、HACCP体系认证，每项1分，</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提供相关证明资料复印件或扫描件，和有完整网站标识的查询截图，不提供不得分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327E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05" w:type="dxa"/>
            <w:noWrap w:val="0"/>
            <w:vAlign w:val="center"/>
          </w:tcPr>
          <w:p w14:paraId="49ABA0FA">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786" w:type="dxa"/>
            <w:noWrap w:val="0"/>
            <w:vAlign w:val="center"/>
          </w:tcPr>
          <w:p w14:paraId="058307E7">
            <w:pPr>
              <w:pStyle w:val="299"/>
              <w:keepNext w:val="0"/>
              <w:keepLines w:val="0"/>
              <w:pageBreakBefore w:val="0"/>
              <w:framePr w:wrap="auto" w:vAnchor="margin" w:hAnchor="text" w:yAlign="inline"/>
              <w:tabs>
                <w:tab w:val="left" w:pos="270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在营智能减重称重系统操作案例</w:t>
            </w:r>
          </w:p>
        </w:tc>
        <w:tc>
          <w:tcPr>
            <w:tcW w:w="765" w:type="dxa"/>
            <w:noWrap w:val="0"/>
            <w:vAlign w:val="center"/>
          </w:tcPr>
          <w:p w14:paraId="0E2CB012">
            <w:pPr>
              <w:pStyle w:val="299"/>
              <w:keepNext w:val="0"/>
              <w:keepLines w:val="0"/>
              <w:pageBreakBefore w:val="0"/>
              <w:framePr w:wrap="auto" w:vAnchor="margin" w:hAnchor="text" w:yAlign="inline"/>
              <w:tabs>
                <w:tab w:val="left" w:pos="2700"/>
              </w:tabs>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5962" w:type="dxa"/>
            <w:noWrap w:val="0"/>
            <w:vAlign w:val="center"/>
          </w:tcPr>
          <w:p w14:paraId="50403683">
            <w:pPr>
              <w:pStyle w:val="269"/>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熟练运用科技管理化方式，降低经营成本，提升餐厅形象，有在营智能减重称重系统操作案例的得3分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本项最高得3分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提供业主单位合同、服务期任意三个月发票或银行收款回执、操作案例图片等证明信息，未提供或提供不全的不得分。</w:t>
            </w:r>
            <w:r>
              <w:rPr>
                <w:rFonts w:hint="eastAsia" w:ascii="宋体" w:hAnsi="宋体" w:eastAsia="宋体" w:cs="宋体"/>
                <w:color w:val="auto"/>
                <w:sz w:val="24"/>
                <w:szCs w:val="24"/>
                <w:highlight w:val="none"/>
                <w:lang w:eastAsia="zh-CN"/>
              </w:rPr>
              <w:t>）</w:t>
            </w:r>
          </w:p>
        </w:tc>
      </w:tr>
    </w:tbl>
    <w:p w14:paraId="0180E2C5">
      <w:pPr>
        <w:keepNext w:val="0"/>
        <w:keepLines w:val="0"/>
        <w:pageBreakBefore w:val="0"/>
        <w:widowControl/>
        <w:spacing w:beforeAutospacing="0" w:afterAutospacing="0" w:line="360" w:lineRule="auto"/>
        <w:jc w:val="left"/>
        <w:rPr>
          <w:rFonts w:hint="eastAsia" w:ascii="宋体" w:hAnsi="宋体" w:eastAsia="宋体" w:cs="宋体"/>
          <w:b/>
          <w:color w:val="auto"/>
          <w:sz w:val="24"/>
          <w:szCs w:val="24"/>
          <w:highlight w:val="none"/>
          <w:lang w:bidi="ar"/>
        </w:rPr>
      </w:pPr>
    </w:p>
    <w:p w14:paraId="5D83C636">
      <w:pPr>
        <w:keepNext w:val="0"/>
        <w:keepLines w:val="0"/>
        <w:pageBreakBefore w:val="0"/>
        <w:widowControl/>
        <w:spacing w:beforeAutospacing="0" w:afterAutospacing="0" w:line="360" w:lineRule="auto"/>
        <w:jc w:val="left"/>
        <w:rPr>
          <w:rFonts w:hint="eastAsia" w:ascii="宋体" w:hAnsi="宋体" w:eastAsia="宋体" w:cs="宋体"/>
          <w:color w:val="auto"/>
          <w:sz w:val="24"/>
          <w:szCs w:val="24"/>
          <w:highlight w:val="none"/>
        </w:rPr>
      </w:pPr>
    </w:p>
    <w:p w14:paraId="14795171">
      <w:pPr>
        <w:keepNext w:val="0"/>
        <w:keepLines w:val="0"/>
        <w:pageBreakBefore w:val="0"/>
        <w:spacing w:beforeAutospacing="0" w:afterAutospacing="0" w:line="360" w:lineRule="auto"/>
        <w:ind w:firstLine="369"/>
        <w:jc w:val="right"/>
        <w:rPr>
          <w:rFonts w:hint="eastAsia" w:ascii="宋体" w:hAnsi="宋体" w:eastAsia="宋体" w:cs="宋体"/>
          <w:b/>
          <w:color w:val="auto"/>
          <w:sz w:val="24"/>
          <w:szCs w:val="24"/>
          <w:highlight w:val="none"/>
        </w:rPr>
      </w:pPr>
    </w:p>
    <w:p w14:paraId="46018081">
      <w:pPr>
        <w:keepNext w:val="0"/>
        <w:keepLines w:val="0"/>
        <w:pageBreakBefore w:val="0"/>
        <w:spacing w:beforeAutospacing="0" w:afterAutospacing="0" w:line="360" w:lineRule="auto"/>
        <w:ind w:firstLine="369"/>
        <w:jc w:val="righ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（全文完）</w:t>
      </w:r>
    </w:p>
    <w:p w14:paraId="77D92990">
      <w:pPr>
        <w:keepNext w:val="0"/>
        <w:keepLines w:val="0"/>
        <w:pageBreakBefore w:val="0"/>
        <w:spacing w:beforeAutospacing="0" w:afterAutospacing="0" w:line="360" w:lineRule="auto"/>
        <w:ind w:firstLine="482"/>
        <w:rPr>
          <w:rFonts w:hint="eastAsia" w:ascii="宋体" w:hAnsi="宋体" w:eastAsia="宋体" w:cs="宋体"/>
          <w:b/>
          <w:color w:val="auto"/>
          <w:sz w:val="24"/>
          <w:szCs w:val="24"/>
          <w:highlight w:val="none"/>
        </w:rPr>
      </w:pPr>
    </w:p>
    <w:p w14:paraId="0BACACB2">
      <w:pPr>
        <w:keepNext w:val="0"/>
        <w:keepLines w:val="0"/>
        <w:pageBreakBefore w:val="0"/>
        <w:spacing w:beforeAutospacing="0" w:afterAutospacing="0" w:line="360" w:lineRule="auto"/>
        <w:rPr>
          <w:rFonts w:hint="eastAsia" w:ascii="宋体" w:hAnsi="宋体" w:eastAsia="宋体" w:cs="宋体"/>
          <w:color w:val="auto"/>
          <w:sz w:val="24"/>
          <w:szCs w:val="24"/>
          <w:highlight w:val="none"/>
        </w:rPr>
      </w:pPr>
    </w:p>
    <w:sectPr>
      <w:headerReference r:id="rId3" w:type="default"/>
      <w:footerReference r:id="rId4" w:type="default"/>
      <w:pgSz w:w="11906" w:h="16838"/>
      <w:pgMar w:top="1100" w:right="1270" w:bottom="1100" w:left="127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sans-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24472">
    <w:pPr>
      <w:pStyle w:val="23"/>
      <w:jc w:val="center"/>
    </w:pPr>
    <w:r>
      <w:fldChar w:fldCharType="begin"/>
    </w:r>
    <w:r>
      <w:instrText xml:space="preserve">PAGE \* MERGEFORMAT</w:instrText>
    </w:r>
    <w:r>
      <w:fldChar w:fldCharType="separate"/>
    </w:r>
    <w:r>
      <w:t>1</w:t>
    </w:r>
    <w:r>
      <w:fldChar w:fldCharType="end"/>
    </w:r>
  </w:p>
  <w:p w14:paraId="53A1BC47">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413B4">
    <w:pPr>
      <w:pStyle w:val="25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F241B"/>
    <w:multiLevelType w:val="multilevel"/>
    <w:tmpl w:val="B52F241B"/>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71DB"/>
    <w:rsid w:val="02B24A9F"/>
    <w:rsid w:val="0849203C"/>
    <w:rsid w:val="095073FA"/>
    <w:rsid w:val="0C1734E6"/>
    <w:rsid w:val="0CF87B8D"/>
    <w:rsid w:val="0DFE5677"/>
    <w:rsid w:val="14A11363"/>
    <w:rsid w:val="153F759E"/>
    <w:rsid w:val="1A8853F5"/>
    <w:rsid w:val="1AF220BF"/>
    <w:rsid w:val="210112AE"/>
    <w:rsid w:val="213D605E"/>
    <w:rsid w:val="2BA37F00"/>
    <w:rsid w:val="30A33283"/>
    <w:rsid w:val="310426F5"/>
    <w:rsid w:val="315C608D"/>
    <w:rsid w:val="34983880"/>
    <w:rsid w:val="386F5525"/>
    <w:rsid w:val="3F9A4950"/>
    <w:rsid w:val="417E3DFD"/>
    <w:rsid w:val="4C7B1260"/>
    <w:rsid w:val="4DE655EA"/>
    <w:rsid w:val="512E144B"/>
    <w:rsid w:val="52045C59"/>
    <w:rsid w:val="52A96CAA"/>
    <w:rsid w:val="5AFF3461"/>
    <w:rsid w:val="5BB71F8E"/>
    <w:rsid w:val="5F8A1E93"/>
    <w:rsid w:val="62CC4571"/>
    <w:rsid w:val="62E97869"/>
    <w:rsid w:val="63247F09"/>
    <w:rsid w:val="6793565D"/>
    <w:rsid w:val="682809E1"/>
    <w:rsid w:val="6B767770"/>
    <w:rsid w:val="6C150D37"/>
    <w:rsid w:val="6CAF118B"/>
    <w:rsid w:val="6EA36ACE"/>
    <w:rsid w:val="77EA751B"/>
    <w:rsid w:val="7C727A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10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07"/>
    <w:unhideWhenUsed/>
    <w:qFormat/>
    <w:uiPriority w:val="9"/>
    <w:pPr>
      <w:keepNext/>
      <w:keepLines/>
      <w:spacing w:line="360" w:lineRule="auto"/>
      <w:ind w:firstLine="422"/>
      <w:outlineLvl w:val="1"/>
    </w:pPr>
    <w:rPr>
      <w:rFonts w:ascii="宋体" w:hAnsi="宋体" w:cs="宋体"/>
      <w:b/>
      <w:szCs w:val="21"/>
    </w:rPr>
  </w:style>
  <w:style w:type="paragraph" w:styleId="4">
    <w:name w:val="heading 3"/>
    <w:basedOn w:val="1"/>
    <w:next w:val="1"/>
    <w:link w:val="10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1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12"/>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113"/>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14"/>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left="420" w:firstLine="4772"/>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91"/>
    <w:semiHidden/>
    <w:unhideWhenUsed/>
    <w:qFormat/>
    <w:uiPriority w:val="99"/>
    <w:pPr>
      <w:jc w:val="left"/>
    </w:pPr>
  </w:style>
  <w:style w:type="paragraph" w:styleId="15">
    <w:name w:val="Body Text"/>
    <w:basedOn w:val="1"/>
    <w:qFormat/>
    <w:uiPriority w:val="0"/>
    <w:pPr>
      <w:spacing w:after="120"/>
    </w:pPr>
    <w:rPr>
      <w:szCs w:val="24"/>
    </w:rPr>
  </w:style>
  <w:style w:type="paragraph" w:styleId="16">
    <w:name w:val="Body Text Indent"/>
    <w:basedOn w:val="1"/>
    <w:next w:val="17"/>
    <w:qFormat/>
    <w:uiPriority w:val="0"/>
    <w:pPr>
      <w:spacing w:line="360" w:lineRule="exact"/>
      <w:ind w:left="420" w:firstLine="1188"/>
    </w:pPr>
    <w:rPr>
      <w:szCs w:val="24"/>
    </w:rPr>
  </w:style>
  <w:style w:type="paragraph" w:customStyle="1" w:styleId="17">
    <w:name w:val="目录 51"/>
    <w:next w:val="1"/>
    <w:qFormat/>
    <w:uiPriority w:val="0"/>
    <w:pPr>
      <w:ind w:left="1275"/>
      <w:jc w:val="both"/>
    </w:pPr>
    <w:rPr>
      <w:rFonts w:hint="default" w:ascii="Times New Roman" w:hAnsi="Times New Roman" w:eastAsia="宋体" w:cs="Times New Roman"/>
      <w:sz w:val="21"/>
      <w:lang w:val="en-US" w:eastAsia="zh-CN" w:bidi="ar-SA"/>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33"/>
    <w:semiHidden/>
    <w:unhideWhenUsed/>
    <w:qFormat/>
    <w:uiPriority w:val="99"/>
    <w:rPr>
      <w:sz w:val="20"/>
    </w:rPr>
  </w:style>
  <w:style w:type="paragraph" w:styleId="22">
    <w:name w:val="Balloon Text"/>
    <w:basedOn w:val="1"/>
    <w:link w:val="289"/>
    <w:semiHidden/>
    <w:unhideWhenUsed/>
    <w:qFormat/>
    <w:uiPriority w:val="99"/>
    <w:rPr>
      <w:sz w:val="18"/>
      <w:szCs w:val="18"/>
    </w:rPr>
  </w:style>
  <w:style w:type="paragraph" w:styleId="23">
    <w:name w:val="footer"/>
    <w:basedOn w:val="1"/>
    <w:link w:val="125"/>
    <w:unhideWhenUsed/>
    <w:qFormat/>
    <w:uiPriority w:val="99"/>
    <w:pPr>
      <w:tabs>
        <w:tab w:val="center" w:pos="7143"/>
        <w:tab w:val="right" w:pos="14287"/>
      </w:tabs>
    </w:pPr>
  </w:style>
  <w:style w:type="paragraph" w:styleId="24">
    <w:name w:val="envelope return"/>
    <w:basedOn w:val="1"/>
    <w:qFormat/>
    <w:uiPriority w:val="0"/>
    <w:rPr>
      <w:sz w:val="26"/>
      <w:szCs w:val="24"/>
    </w:rPr>
  </w:style>
  <w:style w:type="paragraph" w:styleId="25">
    <w:name w:val="header"/>
    <w:basedOn w:val="1"/>
    <w:link w:val="123"/>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118"/>
    <w:qFormat/>
    <w:uiPriority w:val="11"/>
    <w:pPr>
      <w:spacing w:before="200" w:after="200"/>
    </w:pPr>
    <w:rPr>
      <w:sz w:val="24"/>
      <w:szCs w:val="24"/>
    </w:rPr>
  </w:style>
  <w:style w:type="paragraph" w:styleId="29">
    <w:name w:val="footnote text"/>
    <w:basedOn w:val="1"/>
    <w:link w:val="232"/>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99"/>
    <w:pPr>
      <w:widowControl/>
      <w:spacing w:before="100" w:beforeAutospacing="1" w:after="100" w:afterAutospacing="1"/>
      <w:jc w:val="left"/>
    </w:pPr>
    <w:rPr>
      <w:rFonts w:ascii="宋体" w:hAnsi="宋体" w:cs="宋体"/>
      <w:sz w:val="24"/>
    </w:rPr>
  </w:style>
  <w:style w:type="paragraph" w:styleId="35">
    <w:name w:val="Title"/>
    <w:basedOn w:val="1"/>
    <w:next w:val="1"/>
    <w:link w:val="117"/>
    <w:qFormat/>
    <w:uiPriority w:val="10"/>
    <w:pPr>
      <w:spacing w:before="300" w:after="200"/>
      <w:contextualSpacing/>
    </w:pPr>
    <w:rPr>
      <w:sz w:val="48"/>
      <w:szCs w:val="48"/>
    </w:rPr>
  </w:style>
  <w:style w:type="paragraph" w:styleId="36">
    <w:name w:val="annotation subject"/>
    <w:basedOn w:val="14"/>
    <w:next w:val="14"/>
    <w:link w:val="292"/>
    <w:semiHidden/>
    <w:unhideWhenUsed/>
    <w:qFormat/>
    <w:uiPriority w:val="99"/>
    <w:rPr>
      <w:b/>
      <w:bCs/>
    </w:rPr>
  </w:style>
  <w:style w:type="paragraph" w:styleId="37">
    <w:name w:val="Body Text First Indent 2"/>
    <w:basedOn w:val="16"/>
    <w:qFormat/>
    <w:uiPriority w:val="0"/>
    <w:pPr>
      <w:spacing w:after="120"/>
      <w:ind w:left="200" w:firstLine="420"/>
    </w:pPr>
    <w:rPr>
      <w:rFonts w:ascii="Calibri" w:hAnsi="Calibri"/>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0"/>
    <w:rPr>
      <w:rFonts w:ascii="Calibri" w:hAnsi="Calibri" w:eastAsia="宋体" w:cs="Times New Roman"/>
      <w:b/>
    </w:rPr>
  </w:style>
  <w:style w:type="character" w:styleId="42">
    <w:name w:val="endnote reference"/>
    <w:semiHidden/>
    <w:unhideWhenUsed/>
    <w:qFormat/>
    <w:uiPriority w:val="99"/>
    <w:rPr>
      <w:vertAlign w:val="superscript"/>
    </w:rPr>
  </w:style>
  <w:style w:type="character" w:styleId="43">
    <w:name w:val="FollowedHyperlink"/>
    <w:basedOn w:val="40"/>
    <w:semiHidden/>
    <w:unhideWhenUsed/>
    <w:qFormat/>
    <w:uiPriority w:val="99"/>
    <w:rPr>
      <w:color w:val="333333"/>
      <w:u w:val="none"/>
    </w:rPr>
  </w:style>
  <w:style w:type="character" w:styleId="44">
    <w:name w:val="Emphasis"/>
    <w:basedOn w:val="40"/>
    <w:qFormat/>
    <w:uiPriority w:val="20"/>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0"/>
    <w:semiHidden/>
    <w:unhideWhenUsed/>
    <w:qFormat/>
    <w:uiPriority w:val="99"/>
    <w:rPr>
      <w:sz w:val="21"/>
      <w:szCs w:val="21"/>
    </w:rPr>
  </w:style>
  <w:style w:type="character" w:styleId="47">
    <w:name w:val="footnote reference"/>
    <w:unhideWhenUsed/>
    <w:qFormat/>
    <w:uiPriority w:val="99"/>
    <w:rPr>
      <w:vertAlign w:val="superscript"/>
    </w:rPr>
  </w:style>
  <w:style w:type="table" w:customStyle="1" w:styleId="48">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7">
    <w:name w:val="TOC Heading"/>
    <w:unhideWhenUsed/>
    <w:qFormat/>
    <w:uiPriority w:val="39"/>
    <w:rPr>
      <w:rFonts w:hint="default" w:ascii="Times New Roman" w:hAnsi="Times New Roman" w:eastAsia="宋体" w:cs="Times New Roman"/>
    </w:rPr>
  </w:style>
  <w:style w:type="paragraph" w:customStyle="1" w:styleId="68">
    <w:name w:val="正文1"/>
    <w:basedOn w:val="1"/>
    <w:next w:val="1"/>
    <w:qFormat/>
    <w:uiPriority w:val="0"/>
    <w:pPr>
      <w:spacing w:before="120" w:line="360" w:lineRule="auto"/>
      <w:ind w:left="420" w:firstLine="527"/>
    </w:pPr>
    <w:rPr>
      <w:rFonts w:ascii="宋体" w:hAnsi="宋体"/>
      <w:szCs w:val="20"/>
    </w:rPr>
  </w:style>
  <w:style w:type="character" w:customStyle="1" w:styleId="69">
    <w:name w:val="Heading 1 Char"/>
    <w:basedOn w:val="40"/>
    <w:qFormat/>
    <w:uiPriority w:val="9"/>
    <w:rPr>
      <w:rFonts w:ascii="Arial" w:hAnsi="Arial" w:eastAsia="Arial" w:cs="Arial"/>
      <w:sz w:val="40"/>
      <w:szCs w:val="40"/>
    </w:rPr>
  </w:style>
  <w:style w:type="character" w:customStyle="1" w:styleId="70">
    <w:name w:val="Heading 2 Char"/>
    <w:basedOn w:val="40"/>
    <w:qFormat/>
    <w:uiPriority w:val="9"/>
    <w:rPr>
      <w:rFonts w:ascii="Arial" w:hAnsi="Arial" w:eastAsia="Arial" w:cs="Arial"/>
      <w:sz w:val="34"/>
    </w:rPr>
  </w:style>
  <w:style w:type="character" w:customStyle="1" w:styleId="71">
    <w:name w:val="Heading 3 Char"/>
    <w:basedOn w:val="40"/>
    <w:qFormat/>
    <w:uiPriority w:val="9"/>
    <w:rPr>
      <w:rFonts w:ascii="Arial" w:hAnsi="Arial" w:eastAsia="Arial" w:cs="Arial"/>
      <w:sz w:val="30"/>
      <w:szCs w:val="30"/>
    </w:rPr>
  </w:style>
  <w:style w:type="character" w:customStyle="1" w:styleId="72">
    <w:name w:val="Heading 4 Char"/>
    <w:basedOn w:val="40"/>
    <w:qFormat/>
    <w:uiPriority w:val="9"/>
    <w:rPr>
      <w:rFonts w:ascii="Arial" w:hAnsi="Arial" w:eastAsia="Arial" w:cs="Arial"/>
      <w:b/>
      <w:bCs/>
      <w:sz w:val="26"/>
      <w:szCs w:val="26"/>
    </w:rPr>
  </w:style>
  <w:style w:type="character" w:customStyle="1" w:styleId="73">
    <w:name w:val="Heading 5 Char"/>
    <w:basedOn w:val="40"/>
    <w:qFormat/>
    <w:uiPriority w:val="9"/>
    <w:rPr>
      <w:rFonts w:ascii="Arial" w:hAnsi="Arial" w:eastAsia="Arial" w:cs="Arial"/>
      <w:b/>
      <w:bCs/>
      <w:sz w:val="24"/>
      <w:szCs w:val="24"/>
    </w:rPr>
  </w:style>
  <w:style w:type="character" w:customStyle="1" w:styleId="74">
    <w:name w:val="Heading 6 Char"/>
    <w:basedOn w:val="40"/>
    <w:qFormat/>
    <w:uiPriority w:val="9"/>
    <w:rPr>
      <w:rFonts w:ascii="Arial" w:hAnsi="Arial" w:eastAsia="Arial" w:cs="Arial"/>
      <w:b/>
      <w:bCs/>
      <w:sz w:val="22"/>
      <w:szCs w:val="22"/>
    </w:rPr>
  </w:style>
  <w:style w:type="character" w:customStyle="1" w:styleId="75">
    <w:name w:val="Heading 7 Char"/>
    <w:basedOn w:val="40"/>
    <w:qFormat/>
    <w:uiPriority w:val="9"/>
    <w:rPr>
      <w:rFonts w:ascii="Arial" w:hAnsi="Arial" w:eastAsia="Arial" w:cs="Arial"/>
      <w:b/>
      <w:bCs/>
      <w:i/>
      <w:iCs/>
      <w:sz w:val="22"/>
      <w:szCs w:val="22"/>
    </w:rPr>
  </w:style>
  <w:style w:type="character" w:customStyle="1" w:styleId="76">
    <w:name w:val="Heading 8 Char"/>
    <w:basedOn w:val="40"/>
    <w:qFormat/>
    <w:uiPriority w:val="9"/>
    <w:rPr>
      <w:rFonts w:ascii="Arial" w:hAnsi="Arial" w:eastAsia="Arial" w:cs="Arial"/>
      <w:i/>
      <w:iCs/>
      <w:sz w:val="22"/>
      <w:szCs w:val="22"/>
    </w:rPr>
  </w:style>
  <w:style w:type="character" w:customStyle="1" w:styleId="77">
    <w:name w:val="Heading 9 Char"/>
    <w:basedOn w:val="40"/>
    <w:qFormat/>
    <w:uiPriority w:val="9"/>
    <w:rPr>
      <w:rFonts w:ascii="Arial" w:hAnsi="Arial" w:eastAsia="Arial" w:cs="Arial"/>
      <w:i/>
      <w:iCs/>
      <w:sz w:val="21"/>
      <w:szCs w:val="21"/>
    </w:rPr>
  </w:style>
  <w:style w:type="character" w:customStyle="1" w:styleId="78">
    <w:name w:val="Title Char"/>
    <w:basedOn w:val="40"/>
    <w:qFormat/>
    <w:uiPriority w:val="10"/>
    <w:rPr>
      <w:sz w:val="48"/>
      <w:szCs w:val="48"/>
    </w:rPr>
  </w:style>
  <w:style w:type="character" w:customStyle="1" w:styleId="79">
    <w:name w:val="Subtitle Char"/>
    <w:basedOn w:val="40"/>
    <w:qFormat/>
    <w:uiPriority w:val="11"/>
    <w:rPr>
      <w:sz w:val="24"/>
      <w:szCs w:val="24"/>
    </w:rPr>
  </w:style>
  <w:style w:type="character" w:customStyle="1" w:styleId="80">
    <w:name w:val="Quote Char"/>
    <w:qFormat/>
    <w:uiPriority w:val="29"/>
    <w:rPr>
      <w:i/>
    </w:rPr>
  </w:style>
  <w:style w:type="character" w:customStyle="1" w:styleId="81">
    <w:name w:val="Intense Quote Char"/>
    <w:qFormat/>
    <w:uiPriority w:val="30"/>
    <w:rPr>
      <w:i/>
    </w:rPr>
  </w:style>
  <w:style w:type="character" w:customStyle="1" w:styleId="82">
    <w:name w:val="Header Char"/>
    <w:basedOn w:val="40"/>
    <w:qFormat/>
    <w:uiPriority w:val="99"/>
  </w:style>
  <w:style w:type="character" w:customStyle="1" w:styleId="83">
    <w:name w:val="Caption Char"/>
    <w:qFormat/>
    <w:uiPriority w:val="99"/>
  </w:style>
  <w:style w:type="table" w:customStyle="1" w:styleId="84">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5">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6">
    <w:name w:val="无格式表格 31"/>
    <w:basedOn w:val="38"/>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无格式表格 41"/>
    <w:basedOn w:val="38"/>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无格式表格 51"/>
    <w:basedOn w:val="38"/>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0">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清单表 1 浅色1"/>
    <w:basedOn w:val="38"/>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7">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8">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9">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0">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1">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2">
    <w:name w:val="清单表 7 彩色1"/>
    <w:basedOn w:val="38"/>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3">
    <w:name w:val="Footnote Text Char"/>
    <w:qFormat/>
    <w:uiPriority w:val="99"/>
    <w:rPr>
      <w:sz w:val="18"/>
    </w:rPr>
  </w:style>
  <w:style w:type="character" w:customStyle="1" w:styleId="104">
    <w:name w:val="Endnote Text Char"/>
    <w:qFormat/>
    <w:uiPriority w:val="99"/>
    <w:rPr>
      <w:sz w:val="20"/>
    </w:rPr>
  </w:style>
  <w:style w:type="paragraph" w:customStyle="1" w:styleId="105">
    <w:name w:val="TOC 标题1"/>
    <w:unhideWhenUsed/>
    <w:qFormat/>
    <w:uiPriority w:val="39"/>
    <w:rPr>
      <w:rFonts w:hint="default" w:ascii="Times New Roman" w:hAnsi="Times New Roman" w:eastAsia="宋体" w:cs="Times New Roman"/>
      <w:lang w:val="en-US" w:eastAsia="zh-CN" w:bidi="ar-SA"/>
    </w:rPr>
  </w:style>
  <w:style w:type="character" w:customStyle="1" w:styleId="106">
    <w:name w:val="标题 1 字符"/>
    <w:link w:val="2"/>
    <w:qFormat/>
    <w:uiPriority w:val="9"/>
    <w:rPr>
      <w:rFonts w:ascii="Arial" w:hAnsi="Arial" w:eastAsia="Arial" w:cs="Arial"/>
      <w:sz w:val="40"/>
      <w:szCs w:val="40"/>
    </w:rPr>
  </w:style>
  <w:style w:type="character" w:customStyle="1" w:styleId="107">
    <w:name w:val="标题 2 字符"/>
    <w:link w:val="3"/>
    <w:qFormat/>
    <w:uiPriority w:val="9"/>
    <w:rPr>
      <w:rFonts w:ascii="宋体" w:hAnsi="宋体" w:cs="宋体"/>
      <w:b/>
      <w:sz w:val="21"/>
      <w:szCs w:val="21"/>
    </w:rPr>
  </w:style>
  <w:style w:type="character" w:customStyle="1" w:styleId="108">
    <w:name w:val="标题 3 字符"/>
    <w:link w:val="4"/>
    <w:qFormat/>
    <w:uiPriority w:val="9"/>
    <w:rPr>
      <w:rFonts w:ascii="Arial" w:hAnsi="Arial" w:eastAsia="Arial" w:cs="Arial"/>
      <w:sz w:val="30"/>
      <w:szCs w:val="30"/>
    </w:rPr>
  </w:style>
  <w:style w:type="character" w:customStyle="1" w:styleId="109">
    <w:name w:val="标题 4 字符"/>
    <w:link w:val="5"/>
    <w:qFormat/>
    <w:uiPriority w:val="9"/>
    <w:rPr>
      <w:rFonts w:ascii="Arial" w:hAnsi="Arial" w:eastAsia="Arial" w:cs="Arial"/>
      <w:b/>
      <w:bCs/>
      <w:sz w:val="26"/>
      <w:szCs w:val="26"/>
    </w:rPr>
  </w:style>
  <w:style w:type="character" w:customStyle="1" w:styleId="110">
    <w:name w:val="标题 5 字符"/>
    <w:link w:val="6"/>
    <w:qFormat/>
    <w:uiPriority w:val="9"/>
    <w:rPr>
      <w:rFonts w:ascii="Arial" w:hAnsi="Arial" w:eastAsia="Arial" w:cs="Arial"/>
      <w:b/>
      <w:bCs/>
      <w:sz w:val="24"/>
      <w:szCs w:val="24"/>
    </w:rPr>
  </w:style>
  <w:style w:type="character" w:customStyle="1" w:styleId="111">
    <w:name w:val="标题 6 字符"/>
    <w:link w:val="7"/>
    <w:qFormat/>
    <w:uiPriority w:val="9"/>
    <w:rPr>
      <w:rFonts w:ascii="Arial" w:hAnsi="Arial" w:eastAsia="Arial" w:cs="Arial"/>
      <w:b/>
      <w:bCs/>
      <w:sz w:val="22"/>
      <w:szCs w:val="22"/>
    </w:rPr>
  </w:style>
  <w:style w:type="character" w:customStyle="1" w:styleId="112">
    <w:name w:val="标题 7 字符"/>
    <w:link w:val="8"/>
    <w:qFormat/>
    <w:uiPriority w:val="9"/>
    <w:rPr>
      <w:rFonts w:ascii="Arial" w:hAnsi="Arial" w:eastAsia="Arial" w:cs="Arial"/>
      <w:b/>
      <w:bCs/>
      <w:i/>
      <w:iCs/>
      <w:sz w:val="22"/>
      <w:szCs w:val="22"/>
    </w:rPr>
  </w:style>
  <w:style w:type="character" w:customStyle="1" w:styleId="113">
    <w:name w:val="标题 8 字符"/>
    <w:link w:val="9"/>
    <w:qFormat/>
    <w:uiPriority w:val="9"/>
    <w:rPr>
      <w:rFonts w:ascii="Arial" w:hAnsi="Arial" w:eastAsia="Arial" w:cs="Arial"/>
      <w:i/>
      <w:iCs/>
      <w:sz w:val="22"/>
      <w:szCs w:val="22"/>
    </w:rPr>
  </w:style>
  <w:style w:type="character" w:customStyle="1" w:styleId="114">
    <w:name w:val="标题 9 字符"/>
    <w:link w:val="10"/>
    <w:qFormat/>
    <w:uiPriority w:val="9"/>
    <w:rPr>
      <w:rFonts w:ascii="Arial" w:hAnsi="Arial" w:eastAsia="Arial" w:cs="Arial"/>
      <w:i/>
      <w:iCs/>
      <w:sz w:val="21"/>
      <w:szCs w:val="21"/>
    </w:rPr>
  </w:style>
  <w:style w:type="paragraph" w:styleId="115">
    <w:name w:val="List Paragraph"/>
    <w:basedOn w:val="1"/>
    <w:qFormat/>
    <w:uiPriority w:val="34"/>
    <w:pPr>
      <w:ind w:left="720"/>
      <w:contextualSpacing/>
    </w:pPr>
  </w:style>
  <w:style w:type="paragraph" w:styleId="116">
    <w:name w:val="No Spacing"/>
    <w:qFormat/>
    <w:uiPriority w:val="1"/>
    <w:rPr>
      <w:rFonts w:hint="default" w:ascii="Times New Roman" w:hAnsi="Times New Roman" w:eastAsia="宋体" w:cs="Times New Roman"/>
      <w:lang w:val="en-US" w:eastAsia="zh-CN" w:bidi="ar-SA"/>
    </w:rPr>
  </w:style>
  <w:style w:type="character" w:customStyle="1" w:styleId="117">
    <w:name w:val="标题 字符"/>
    <w:link w:val="35"/>
    <w:qFormat/>
    <w:uiPriority w:val="10"/>
    <w:rPr>
      <w:sz w:val="48"/>
      <w:szCs w:val="48"/>
    </w:rPr>
  </w:style>
  <w:style w:type="character" w:customStyle="1" w:styleId="118">
    <w:name w:val="副标题 字符"/>
    <w:link w:val="28"/>
    <w:qFormat/>
    <w:uiPriority w:val="11"/>
    <w:rPr>
      <w:sz w:val="24"/>
      <w:szCs w:val="24"/>
    </w:rPr>
  </w:style>
  <w:style w:type="paragraph" w:styleId="119">
    <w:name w:val="Quote"/>
    <w:basedOn w:val="1"/>
    <w:next w:val="1"/>
    <w:link w:val="120"/>
    <w:qFormat/>
    <w:uiPriority w:val="29"/>
    <w:pPr>
      <w:ind w:left="720" w:right="720"/>
    </w:pPr>
    <w:rPr>
      <w:i/>
    </w:rPr>
  </w:style>
  <w:style w:type="character" w:customStyle="1" w:styleId="120">
    <w:name w:val="引用 字符"/>
    <w:link w:val="119"/>
    <w:qFormat/>
    <w:uiPriority w:val="29"/>
    <w:rPr>
      <w:i/>
    </w:rPr>
  </w:style>
  <w:style w:type="paragraph" w:styleId="121">
    <w:name w:val="Intense Quote"/>
    <w:basedOn w:val="1"/>
    <w:next w:val="1"/>
    <w:link w:val="12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2">
    <w:name w:val="明显引用 字符"/>
    <w:link w:val="121"/>
    <w:qFormat/>
    <w:uiPriority w:val="30"/>
    <w:rPr>
      <w:i/>
    </w:rPr>
  </w:style>
  <w:style w:type="character" w:customStyle="1" w:styleId="123">
    <w:name w:val="页眉 字符"/>
    <w:link w:val="25"/>
    <w:qFormat/>
    <w:uiPriority w:val="99"/>
  </w:style>
  <w:style w:type="character" w:customStyle="1" w:styleId="124">
    <w:name w:val="Footer Char"/>
    <w:qFormat/>
    <w:uiPriority w:val="99"/>
  </w:style>
  <w:style w:type="character" w:customStyle="1" w:styleId="125">
    <w:name w:val="页脚 字符"/>
    <w:link w:val="23"/>
    <w:qFormat/>
    <w:uiPriority w:val="99"/>
  </w:style>
  <w:style w:type="table" w:customStyle="1" w:styleId="12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3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字符"/>
    <w:link w:val="29"/>
    <w:qFormat/>
    <w:uiPriority w:val="99"/>
    <w:rPr>
      <w:sz w:val="18"/>
    </w:rPr>
  </w:style>
  <w:style w:type="character" w:customStyle="1" w:styleId="233">
    <w:name w:val="尾注文本 字符"/>
    <w:link w:val="21"/>
    <w:qFormat/>
    <w:uiPriority w:val="99"/>
    <w:rPr>
      <w:sz w:val="20"/>
    </w:rPr>
  </w:style>
  <w:style w:type="paragraph" w:customStyle="1" w:styleId="234">
    <w:name w:val="TOC 标题11"/>
    <w:unhideWhenUsed/>
    <w:qFormat/>
    <w:uiPriority w:val="39"/>
    <w:rPr>
      <w:rFonts w:hint="default" w:ascii="Times New Roman" w:hAnsi="Times New Roman" w:eastAsia="宋体" w:cs="Times New Roman"/>
      <w:lang w:val="en-US" w:eastAsia="zh-CN" w:bidi="ar-SA"/>
    </w:rPr>
  </w:style>
  <w:style w:type="paragraph" w:customStyle="1" w:styleId="235">
    <w:name w:val="标题 11"/>
    <w:basedOn w:val="1"/>
    <w:next w:val="1"/>
    <w:qFormat/>
    <w:uiPriority w:val="0"/>
    <w:pPr>
      <w:keepNext/>
      <w:keepLines/>
      <w:spacing w:line="360" w:lineRule="auto"/>
      <w:jc w:val="center"/>
      <w:outlineLvl w:val="0"/>
    </w:pPr>
    <w:rPr>
      <w:rFonts w:eastAsia="黑体"/>
      <w:b/>
      <w:bCs/>
      <w:sz w:val="32"/>
      <w:szCs w:val="44"/>
    </w:rPr>
  </w:style>
  <w:style w:type="paragraph" w:customStyle="1" w:styleId="236">
    <w:name w:val="标题 21"/>
    <w:basedOn w:val="1"/>
    <w:next w:val="1"/>
    <w:qFormat/>
    <w:uiPriority w:val="9"/>
    <w:pPr>
      <w:keepNext/>
      <w:keepLines/>
      <w:spacing w:line="360" w:lineRule="auto"/>
      <w:outlineLvl w:val="1"/>
    </w:pPr>
    <w:rPr>
      <w:rFonts w:ascii="Arial" w:hAnsi="Arial"/>
      <w:b/>
      <w:bCs/>
      <w:sz w:val="24"/>
      <w:szCs w:val="32"/>
    </w:rPr>
  </w:style>
  <w:style w:type="paragraph" w:customStyle="1" w:styleId="237">
    <w:name w:val="标题 31"/>
    <w:basedOn w:val="1"/>
    <w:next w:val="1"/>
    <w:qFormat/>
    <w:uiPriority w:val="0"/>
    <w:pPr>
      <w:keepNext/>
      <w:keepLines/>
      <w:spacing w:line="360" w:lineRule="auto"/>
      <w:outlineLvl w:val="2"/>
    </w:pPr>
    <w:rPr>
      <w:b/>
      <w:bCs/>
      <w:szCs w:val="32"/>
    </w:rPr>
  </w:style>
  <w:style w:type="paragraph" w:customStyle="1" w:styleId="238">
    <w:name w:val="标题 41"/>
    <w:basedOn w:val="1"/>
    <w:next w:val="1"/>
    <w:qFormat/>
    <w:uiPriority w:val="9"/>
    <w:pPr>
      <w:keepNext/>
      <w:keepLines/>
      <w:spacing w:before="280" w:after="290" w:line="376" w:lineRule="auto"/>
      <w:outlineLvl w:val="3"/>
    </w:pPr>
    <w:rPr>
      <w:rFonts w:ascii="Cambria" w:hAnsi="Cambria"/>
      <w:b/>
      <w:bCs/>
      <w:sz w:val="28"/>
      <w:szCs w:val="28"/>
    </w:rPr>
  </w:style>
  <w:style w:type="character" w:customStyle="1" w:styleId="239">
    <w:name w:val="默认段落字体1"/>
    <w:unhideWhenUsed/>
    <w:qFormat/>
    <w:uiPriority w:val="1"/>
  </w:style>
  <w:style w:type="table" w:customStyle="1" w:styleId="240">
    <w:name w:val="普通表格1"/>
    <w:unhideWhenUsed/>
    <w:qFormat/>
    <w:uiPriority w:val="99"/>
    <w:tblPr>
      <w:tblCellMar>
        <w:top w:w="0" w:type="dxa"/>
        <w:left w:w="0" w:type="dxa"/>
        <w:bottom w:w="0" w:type="dxa"/>
        <w:right w:w="0" w:type="dxa"/>
      </w:tblCellMar>
    </w:tblPr>
  </w:style>
  <w:style w:type="paragraph" w:customStyle="1" w:styleId="241">
    <w:name w:val="正文缩进11"/>
    <w:basedOn w:val="1"/>
    <w:link w:val="242"/>
    <w:unhideWhenUsed/>
    <w:qFormat/>
    <w:uiPriority w:val="99"/>
    <w:pPr>
      <w:ind w:firstLine="420"/>
      <w:jc w:val="left"/>
    </w:pPr>
    <w:rPr>
      <w:rFonts w:eastAsia="楷体_GB2312"/>
      <w:sz w:val="24"/>
      <w:szCs w:val="20"/>
    </w:rPr>
  </w:style>
  <w:style w:type="character" w:customStyle="1" w:styleId="242">
    <w:name w:val="正文缩进 字符"/>
    <w:link w:val="241"/>
    <w:qFormat/>
    <w:uiPriority w:val="0"/>
    <w:rPr>
      <w:rFonts w:ascii="Times New Roman" w:hAnsi="Times New Roman" w:eastAsia="楷体_GB2312" w:cs="Times New Roman"/>
      <w:sz w:val="24"/>
      <w:szCs w:val="20"/>
    </w:rPr>
  </w:style>
  <w:style w:type="paragraph" w:customStyle="1" w:styleId="243">
    <w:name w:val="批注文字1"/>
    <w:basedOn w:val="1"/>
    <w:link w:val="244"/>
    <w:unhideWhenUsed/>
    <w:qFormat/>
    <w:uiPriority w:val="99"/>
    <w:pPr>
      <w:jc w:val="left"/>
    </w:pPr>
  </w:style>
  <w:style w:type="character" w:customStyle="1" w:styleId="244">
    <w:name w:val="批注文字 字符"/>
    <w:link w:val="243"/>
    <w:qFormat/>
    <w:uiPriority w:val="99"/>
    <w:rPr>
      <w:sz w:val="21"/>
      <w:szCs w:val="22"/>
    </w:rPr>
  </w:style>
  <w:style w:type="paragraph" w:customStyle="1" w:styleId="245">
    <w:name w:val="正文文本1"/>
    <w:basedOn w:val="1"/>
    <w:next w:val="246"/>
    <w:link w:val="247"/>
    <w:unhideWhenUsed/>
    <w:qFormat/>
    <w:uiPriority w:val="99"/>
    <w:pPr>
      <w:spacing w:after="120"/>
    </w:pPr>
    <w:rPr>
      <w:szCs w:val="24"/>
    </w:rPr>
  </w:style>
  <w:style w:type="paragraph" w:customStyle="1" w:styleId="246">
    <w:name w:val="正文缩进1"/>
    <w:next w:val="1"/>
    <w:qFormat/>
    <w:uiPriority w:val="0"/>
    <w:pPr>
      <w:widowControl w:val="0"/>
      <w:ind w:firstLine="420"/>
    </w:pPr>
    <w:rPr>
      <w:rFonts w:hint="default" w:ascii="Times New Roman" w:hAnsi="Times New Roman" w:eastAsia="宋体" w:cs="Times New Roman"/>
      <w:sz w:val="24"/>
      <w:lang w:val="en-US" w:eastAsia="zh-CN" w:bidi="ar-SA"/>
    </w:rPr>
  </w:style>
  <w:style w:type="character" w:customStyle="1" w:styleId="247">
    <w:name w:val="正文文本 字符"/>
    <w:link w:val="245"/>
    <w:qFormat/>
    <w:uiPriority w:val="99"/>
    <w:rPr>
      <w:rFonts w:ascii="Times New Roman" w:hAnsi="Times New Roman" w:eastAsia="宋体" w:cs="Times New Roman"/>
      <w:szCs w:val="24"/>
    </w:rPr>
  </w:style>
  <w:style w:type="paragraph" w:customStyle="1" w:styleId="248">
    <w:name w:val="正文文本缩进11"/>
    <w:basedOn w:val="1"/>
    <w:next w:val="1"/>
    <w:unhideWhenUsed/>
    <w:qFormat/>
    <w:uiPriority w:val="99"/>
    <w:pPr>
      <w:spacing w:after="120"/>
      <w:ind w:left="420"/>
    </w:pPr>
    <w:rPr>
      <w:szCs w:val="24"/>
    </w:rPr>
  </w:style>
  <w:style w:type="paragraph" w:customStyle="1" w:styleId="249">
    <w:name w:val="寄信人地址11"/>
    <w:basedOn w:val="1"/>
    <w:qFormat/>
    <w:uiPriority w:val="0"/>
    <w:rPr>
      <w:sz w:val="26"/>
      <w:szCs w:val="24"/>
    </w:rPr>
  </w:style>
  <w:style w:type="paragraph" w:customStyle="1" w:styleId="250">
    <w:name w:val="文本块1"/>
    <w:basedOn w:val="1"/>
    <w:unhideWhenUsed/>
    <w:qFormat/>
    <w:uiPriority w:val="99"/>
    <w:pPr>
      <w:spacing w:line="360" w:lineRule="auto"/>
      <w:ind w:left="630" w:right="-609" w:firstLine="420"/>
    </w:pPr>
    <w:rPr>
      <w:rFonts w:hint="eastAsia" w:ascii="仿宋_GB2312" w:eastAsia="仿宋_GB2312"/>
      <w:szCs w:val="20"/>
    </w:rPr>
  </w:style>
  <w:style w:type="paragraph" w:customStyle="1" w:styleId="251">
    <w:name w:val="日期1"/>
    <w:basedOn w:val="1"/>
    <w:next w:val="1"/>
    <w:qFormat/>
    <w:uiPriority w:val="0"/>
    <w:pPr>
      <w:ind w:left="100"/>
    </w:pPr>
  </w:style>
  <w:style w:type="paragraph" w:customStyle="1" w:styleId="252">
    <w:name w:val="页脚1"/>
    <w:basedOn w:val="1"/>
    <w:unhideWhenUsed/>
    <w:qFormat/>
    <w:uiPriority w:val="99"/>
    <w:pPr>
      <w:tabs>
        <w:tab w:val="center" w:pos="4153"/>
        <w:tab w:val="right" w:pos="8306"/>
      </w:tabs>
      <w:jc w:val="left"/>
    </w:pPr>
    <w:rPr>
      <w:sz w:val="18"/>
      <w:szCs w:val="18"/>
    </w:rPr>
  </w:style>
  <w:style w:type="paragraph" w:customStyle="1" w:styleId="253">
    <w:name w:val="页眉1"/>
    <w:basedOn w:val="1"/>
    <w:unhideWhenUsed/>
    <w:qFormat/>
    <w:uiPriority w:val="99"/>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54">
    <w:name w:val="正文文本缩进 31"/>
    <w:basedOn w:val="1"/>
    <w:link w:val="255"/>
    <w:unhideWhenUsed/>
    <w:qFormat/>
    <w:uiPriority w:val="99"/>
    <w:pPr>
      <w:spacing w:line="440" w:lineRule="atLeast"/>
      <w:ind w:firstLine="480"/>
      <w:jc w:val="left"/>
    </w:pPr>
    <w:rPr>
      <w:sz w:val="24"/>
      <w:szCs w:val="24"/>
    </w:rPr>
  </w:style>
  <w:style w:type="character" w:customStyle="1" w:styleId="255">
    <w:name w:val="正文文本缩进 3 字符"/>
    <w:link w:val="254"/>
    <w:qFormat/>
    <w:uiPriority w:val="0"/>
    <w:rPr>
      <w:rFonts w:ascii="Times New Roman" w:hAnsi="Times New Roman" w:eastAsia="宋体" w:cs="Times New Roman"/>
      <w:sz w:val="24"/>
    </w:rPr>
  </w:style>
  <w:style w:type="paragraph" w:customStyle="1" w:styleId="256">
    <w:name w:val="目录 21"/>
    <w:basedOn w:val="1"/>
    <w:next w:val="1"/>
    <w:qFormat/>
    <w:uiPriority w:val="39"/>
    <w:pPr>
      <w:spacing w:line="360" w:lineRule="auto"/>
      <w:ind w:left="200"/>
    </w:pPr>
  </w:style>
  <w:style w:type="paragraph" w:customStyle="1" w:styleId="257">
    <w:name w:val="普通(网站)1"/>
    <w:basedOn w:val="1"/>
    <w:qFormat/>
    <w:uiPriority w:val="99"/>
    <w:pPr>
      <w:spacing w:before="75" w:after="75"/>
      <w:jc w:val="center"/>
    </w:pPr>
    <w:rPr>
      <w:sz w:val="24"/>
      <w:szCs w:val="24"/>
    </w:rPr>
  </w:style>
  <w:style w:type="paragraph" w:customStyle="1" w:styleId="258">
    <w:name w:val="批注主题1"/>
    <w:basedOn w:val="243"/>
    <w:next w:val="243"/>
    <w:link w:val="259"/>
    <w:unhideWhenUsed/>
    <w:qFormat/>
    <w:uiPriority w:val="99"/>
    <w:rPr>
      <w:b/>
      <w:bCs/>
    </w:rPr>
  </w:style>
  <w:style w:type="character" w:customStyle="1" w:styleId="259">
    <w:name w:val="批注主题 字符"/>
    <w:link w:val="258"/>
    <w:semiHidden/>
    <w:qFormat/>
    <w:uiPriority w:val="99"/>
    <w:rPr>
      <w:b/>
      <w:bCs/>
      <w:sz w:val="21"/>
      <w:szCs w:val="22"/>
    </w:rPr>
  </w:style>
  <w:style w:type="paragraph" w:customStyle="1" w:styleId="260">
    <w:name w:val="正文首行缩进 21"/>
    <w:basedOn w:val="248"/>
    <w:next w:val="1"/>
    <w:unhideWhenUsed/>
    <w:qFormat/>
    <w:uiPriority w:val="99"/>
    <w:pPr>
      <w:ind w:firstLine="420"/>
    </w:pPr>
    <w:rPr>
      <w:rFonts w:ascii="Calibri" w:hAnsi="Calibri"/>
    </w:rPr>
  </w:style>
  <w:style w:type="character" w:customStyle="1" w:styleId="261">
    <w:name w:val="要点1"/>
    <w:qFormat/>
    <w:uiPriority w:val="0"/>
    <w:rPr>
      <w:rFonts w:ascii="Times New Roman" w:hAnsi="Times New Roman" w:eastAsia="宋体" w:cs="Times New Roman"/>
      <w:b/>
      <w:bCs/>
    </w:rPr>
  </w:style>
  <w:style w:type="character" w:customStyle="1" w:styleId="262">
    <w:name w:val="页码1"/>
    <w:unhideWhenUsed/>
    <w:qFormat/>
    <w:uiPriority w:val="99"/>
    <w:rPr>
      <w:rFonts w:ascii="Tahoma" w:hAnsi="Tahoma" w:eastAsia="宋体" w:cs="Times New Roman"/>
      <w:sz w:val="24"/>
      <w:szCs w:val="24"/>
      <w:lang w:val="en-US" w:eastAsia="zh-CN" w:bidi="ar-SA"/>
    </w:rPr>
  </w:style>
  <w:style w:type="character" w:customStyle="1" w:styleId="263">
    <w:name w:val="已访问的超链接1"/>
    <w:unhideWhenUsed/>
    <w:qFormat/>
    <w:uiPriority w:val="99"/>
    <w:rPr>
      <w:color w:val="333333"/>
      <w:u w:val="none"/>
    </w:rPr>
  </w:style>
  <w:style w:type="character" w:customStyle="1" w:styleId="264">
    <w:name w:val="强调1"/>
    <w:qFormat/>
    <w:uiPriority w:val="20"/>
  </w:style>
  <w:style w:type="character" w:customStyle="1" w:styleId="265">
    <w:name w:val="超链接1"/>
    <w:unhideWhenUsed/>
    <w:qFormat/>
    <w:uiPriority w:val="99"/>
    <w:rPr>
      <w:rFonts w:ascii="Times New Roman" w:hAnsi="Times New Roman" w:eastAsia="宋体" w:cs="Times New Roman"/>
      <w:color w:val="0066CC"/>
      <w:sz w:val="21"/>
      <w:szCs w:val="21"/>
      <w:u w:val="none"/>
    </w:rPr>
  </w:style>
  <w:style w:type="character" w:customStyle="1" w:styleId="266">
    <w:name w:val="批注引用1"/>
    <w:unhideWhenUsed/>
    <w:qFormat/>
    <w:uiPriority w:val="99"/>
    <w:rPr>
      <w:sz w:val="21"/>
      <w:szCs w:val="21"/>
    </w:rPr>
  </w:style>
  <w:style w:type="paragraph" w:customStyle="1" w:styleId="267">
    <w:name w:val="正文文本缩进1"/>
    <w:next w:val="268"/>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268">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69">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270">
    <w:name w:val="NormalCharacter1"/>
    <w:qFormat/>
    <w:uiPriority w:val="0"/>
    <w:rPr>
      <w:rFonts w:ascii="Calibri" w:hAnsi="Calibri" w:eastAsia="宋体" w:cs="Times New Roman"/>
      <w:sz w:val="21"/>
      <w:szCs w:val="22"/>
      <w:lang w:val="en-US" w:eastAsia="zh-CN" w:bidi="ar-SA"/>
    </w:rPr>
  </w:style>
  <w:style w:type="paragraph" w:customStyle="1" w:styleId="271">
    <w:name w:val="首行缩进"/>
    <w:basedOn w:val="1"/>
    <w:qFormat/>
    <w:uiPriority w:val="0"/>
    <w:pPr>
      <w:ind w:firstLine="480"/>
    </w:pPr>
    <w:rPr>
      <w:szCs w:val="20"/>
      <w:lang w:val="zh-CN"/>
    </w:rPr>
  </w:style>
  <w:style w:type="paragraph" w:customStyle="1" w:styleId="272">
    <w:name w:val="纯文本2"/>
    <w:basedOn w:val="1"/>
    <w:qFormat/>
    <w:uiPriority w:val="0"/>
    <w:rPr>
      <w:rFonts w:ascii="宋体" w:hAnsi="Courier New"/>
      <w:szCs w:val="24"/>
    </w:rPr>
  </w:style>
  <w:style w:type="character" w:customStyle="1" w:styleId="273">
    <w:name w:val="正文文本 Char"/>
    <w:semiHidden/>
    <w:qFormat/>
    <w:uiPriority w:val="99"/>
    <w:rPr>
      <w:rFonts w:ascii="Calibri" w:hAnsi="Calibri" w:eastAsia="宋体" w:cs="Times New Roman"/>
      <w:szCs w:val="24"/>
    </w:rPr>
  </w:style>
  <w:style w:type="paragraph" w:customStyle="1" w:styleId="274">
    <w:name w:val="纯文本4"/>
    <w:basedOn w:val="1"/>
    <w:qFormat/>
    <w:uiPriority w:val="0"/>
    <w:rPr>
      <w:rFonts w:ascii="宋体" w:hAnsi="Courier New" w:eastAsia="楷体_GB2312"/>
      <w:sz w:val="26"/>
      <w:szCs w:val="20"/>
    </w:rPr>
  </w:style>
  <w:style w:type="character" w:customStyle="1" w:styleId="275">
    <w:name w:val="first-child"/>
    <w:qFormat/>
    <w:uiPriority w:val="0"/>
    <w:rPr>
      <w:rFonts w:ascii="Times New Roman" w:hAnsi="Times New Roman" w:eastAsia="宋体" w:cs="Times New Roman"/>
    </w:rPr>
  </w:style>
  <w:style w:type="character" w:customStyle="1" w:styleId="276">
    <w:name w:val="layui-this"/>
    <w:qFormat/>
    <w:uiPriority w:val="0"/>
    <w:rPr>
      <w:rFonts w:ascii="Times New Roman" w:hAnsi="Times New Roman" w:eastAsia="宋体" w:cs="Times New Roman"/>
      <w:shd w:val="clear" w:color="auto" w:fill="FFFFFF"/>
    </w:rPr>
  </w:style>
  <w:style w:type="character" w:customStyle="1" w:styleId="277">
    <w:name w:val="l-btn-left"/>
    <w:qFormat/>
    <w:uiPriority w:val="0"/>
    <w:rPr>
      <w:rFonts w:ascii="Times New Roman" w:hAnsi="Times New Roman" w:eastAsia="宋体" w:cs="Times New Roman"/>
    </w:rPr>
  </w:style>
  <w:style w:type="character" w:customStyle="1" w:styleId="278">
    <w:name w:val="l-btn-text33"/>
    <w:qFormat/>
    <w:uiPriority w:val="0"/>
    <w:rPr>
      <w:rFonts w:ascii="Times New Roman" w:hAnsi="Times New Roman" w:eastAsia="宋体" w:cs="Times New Roman"/>
    </w:rPr>
  </w:style>
  <w:style w:type="character" w:customStyle="1" w:styleId="279">
    <w:name w:val="l-btn-text35"/>
    <w:qFormat/>
    <w:uiPriority w:val="0"/>
    <w:rPr>
      <w:rFonts w:ascii="Times New Roman" w:hAnsi="Times New Roman" w:eastAsia="宋体" w:cs="Times New Roman"/>
    </w:rPr>
  </w:style>
  <w:style w:type="character" w:customStyle="1" w:styleId="280">
    <w:name w:val="正文文本缩进 3 Char"/>
    <w:semiHidden/>
    <w:qFormat/>
    <w:uiPriority w:val="99"/>
    <w:rPr>
      <w:rFonts w:ascii="Times New Roman" w:hAnsi="Times New Roman" w:eastAsia="宋体" w:cs="Times New Roman"/>
      <w:sz w:val="16"/>
      <w:szCs w:val="16"/>
    </w:rPr>
  </w:style>
  <w:style w:type="character" w:customStyle="1" w:styleId="281">
    <w:name w:val="l-btn-text36"/>
    <w:qFormat/>
    <w:uiPriority w:val="0"/>
    <w:rPr>
      <w:rFonts w:ascii="Times New Roman" w:hAnsi="Times New Roman" w:eastAsia="宋体" w:cs="Times New Roman"/>
    </w:rPr>
  </w:style>
  <w:style w:type="character" w:customStyle="1" w:styleId="282">
    <w:name w:val="l-btn-text"/>
    <w:qFormat/>
    <w:uiPriority w:val="0"/>
    <w:rPr>
      <w:rFonts w:ascii="Times New Roman" w:hAnsi="Times New Roman" w:eastAsia="宋体" w:cs="Times New Roman"/>
    </w:rPr>
  </w:style>
  <w:style w:type="paragraph" w:customStyle="1" w:styleId="283">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4">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5">
    <w:name w:val="修订1"/>
    <w:unhideWhenUsed/>
    <w:qFormat/>
    <w:uiPriority w:val="99"/>
    <w:rPr>
      <w:rFonts w:hint="default" w:ascii="Times New Roman" w:hAnsi="Times New Roman" w:eastAsia="宋体" w:cs="Times New Roman"/>
      <w:sz w:val="21"/>
      <w:szCs w:val="22"/>
      <w:lang w:val="en-US" w:eastAsia="zh-CN" w:bidi="ar-SA"/>
    </w:rPr>
  </w:style>
  <w:style w:type="table" w:customStyle="1" w:styleId="286">
    <w:name w:val="Table Normal"/>
    <w:semiHidden/>
    <w:unhideWhenUsed/>
    <w:qFormat/>
    <w:uiPriority w:val="0"/>
    <w:tblPr>
      <w:tblCellMar>
        <w:top w:w="0" w:type="dxa"/>
        <w:left w:w="0" w:type="dxa"/>
        <w:bottom w:w="0" w:type="dxa"/>
        <w:right w:w="0" w:type="dxa"/>
      </w:tblCellMar>
    </w:tblPr>
  </w:style>
  <w:style w:type="table" w:customStyle="1" w:styleId="287">
    <w:name w:val="网格型42"/>
    <w:basedOn w:val="3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88">
    <w:name w:val="修订2"/>
    <w:hidden/>
    <w:unhideWhenUsed/>
    <w:qFormat/>
    <w:uiPriority w:val="99"/>
    <w:rPr>
      <w:rFonts w:hint="default" w:ascii="Times New Roman" w:hAnsi="Times New Roman" w:eastAsia="宋体" w:cs="Times New Roman"/>
      <w:sz w:val="21"/>
      <w:szCs w:val="22"/>
      <w:lang w:val="en-US" w:eastAsia="zh-CN" w:bidi="ar-SA"/>
    </w:rPr>
  </w:style>
  <w:style w:type="character" w:customStyle="1" w:styleId="289">
    <w:name w:val="批注框文本 字符"/>
    <w:basedOn w:val="40"/>
    <w:link w:val="22"/>
    <w:semiHidden/>
    <w:qFormat/>
    <w:uiPriority w:val="99"/>
    <w:rPr>
      <w:sz w:val="18"/>
      <w:szCs w:val="18"/>
    </w:rPr>
  </w:style>
  <w:style w:type="paragraph" w:customStyle="1" w:styleId="290">
    <w:name w:val="修订3"/>
    <w:hidden/>
    <w:unhideWhenUsed/>
    <w:qFormat/>
    <w:uiPriority w:val="99"/>
    <w:rPr>
      <w:rFonts w:hint="default" w:ascii="Times New Roman" w:hAnsi="Times New Roman" w:eastAsia="宋体" w:cs="Times New Roman"/>
      <w:sz w:val="21"/>
      <w:szCs w:val="22"/>
      <w:lang w:val="en-US" w:eastAsia="zh-CN" w:bidi="ar-SA"/>
    </w:rPr>
  </w:style>
  <w:style w:type="character" w:customStyle="1" w:styleId="291">
    <w:name w:val="批注文字 字符1"/>
    <w:basedOn w:val="40"/>
    <w:link w:val="14"/>
    <w:semiHidden/>
    <w:qFormat/>
    <w:uiPriority w:val="99"/>
    <w:rPr>
      <w:sz w:val="21"/>
      <w:szCs w:val="22"/>
    </w:rPr>
  </w:style>
  <w:style w:type="character" w:customStyle="1" w:styleId="292">
    <w:name w:val="批注主题 字符1"/>
    <w:basedOn w:val="291"/>
    <w:link w:val="36"/>
    <w:semiHidden/>
    <w:qFormat/>
    <w:uiPriority w:val="99"/>
    <w:rPr>
      <w:b/>
      <w:bCs/>
      <w:sz w:val="21"/>
      <w:szCs w:val="22"/>
    </w:rPr>
  </w:style>
  <w:style w:type="paragraph" w:customStyle="1" w:styleId="293">
    <w:name w:val="[正文行首缩进]"/>
    <w:qFormat/>
    <w:uiPriority w:val="0"/>
    <w:pPr>
      <w:widowControl w:val="0"/>
      <w:spacing w:line="360" w:lineRule="auto"/>
      <w:ind w:firstLine="480"/>
      <w:jc w:val="both"/>
    </w:pPr>
    <w:rPr>
      <w:rFonts w:hint="default" w:ascii="Times New Roman" w:hAnsi="Times New Roman" w:eastAsia="宋体" w:cs="Times New Roman"/>
      <w:bCs/>
      <w:color w:val="000000"/>
      <w:sz w:val="24"/>
      <w:szCs w:val="24"/>
      <w:lang w:val="en-US" w:eastAsia="zh-CN" w:bidi="ar-SA"/>
    </w:rPr>
  </w:style>
  <w:style w:type="character" w:customStyle="1" w:styleId="294">
    <w:name w:val="NormalCharacter"/>
    <w:semiHidden/>
    <w:qFormat/>
    <w:uiPriority w:val="0"/>
  </w:style>
  <w:style w:type="paragraph" w:customStyle="1" w:styleId="295">
    <w:name w:val="UserStyle_62"/>
    <w:basedOn w:val="1"/>
    <w:qFormat/>
    <w:uiPriority w:val="0"/>
    <w:rPr>
      <w:rFonts w:ascii="宋体" w:hAnsi="Courier New"/>
    </w:rPr>
  </w:style>
  <w:style w:type="paragraph" w:customStyle="1" w:styleId="296">
    <w:name w:val="WPSOffice手动目录 1"/>
    <w:qFormat/>
    <w:uiPriority w:val="0"/>
    <w:rPr>
      <w:rFonts w:hint="default" w:ascii="Times New Roman" w:hAnsi="Times New Roman" w:eastAsia="宋体" w:cs="Times New Roman"/>
      <w:lang w:val="en-US" w:eastAsia="zh-CN" w:bidi="ar-SA"/>
    </w:rPr>
  </w:style>
  <w:style w:type="paragraph" w:customStyle="1" w:styleId="297">
    <w:name w:val="Revision"/>
    <w:hidden/>
    <w:semiHidden/>
    <w:unhideWhenUsed/>
    <w:qFormat/>
    <w:uiPriority w:val="99"/>
    <w:rPr>
      <w:rFonts w:hint="default" w:ascii="Times New Roman" w:hAnsi="Times New Roman" w:eastAsia="宋体" w:cs="Times New Roman"/>
      <w:sz w:val="21"/>
      <w:szCs w:val="22"/>
      <w:lang w:val="en-US" w:eastAsia="zh-CN" w:bidi="ar-SA"/>
    </w:rPr>
  </w:style>
  <w:style w:type="paragraph" w:customStyle="1" w:styleId="298">
    <w:name w:val="纯文本111"/>
    <w:basedOn w:val="1"/>
    <w:next w:val="246"/>
    <w:qFormat/>
    <w:uiPriority w:val="0"/>
    <w:rPr>
      <w:rFonts w:ascii="宋体" w:hAnsi="Courier New"/>
    </w:rPr>
  </w:style>
  <w:style w:type="paragraph" w:customStyle="1" w:styleId="299">
    <w:name w:val="正文 A"/>
    <w:qFormat/>
    <w:uiPriority w:val="0"/>
    <w:pPr>
      <w:framePr w:wrap="around" w:vAnchor="margin" w:hAnchor="text" w:yAlign="top"/>
      <w:widowControl w:val="0"/>
      <w:jc w:val="both"/>
    </w:pPr>
    <w:rPr>
      <w:rFonts w:hint="default" w:ascii="Times New Roman" w:hAnsi="Arial Unicode MS" w:eastAsia="Arial Unicode MS" w:cs="Arial Unicode MS"/>
      <w:color w:val="000000"/>
      <w:sz w:val="21"/>
      <w:szCs w:val="21"/>
      <w:lang w:val="en-US" w:eastAsia="zh-CN" w:bidi="ar-SA"/>
    </w:rPr>
  </w:style>
  <w:style w:type="paragraph" w:customStyle="1" w:styleId="300">
    <w:name w:val="Plain Text1"/>
    <w:basedOn w:val="1"/>
    <w:qFormat/>
    <w:uiPriority w:val="0"/>
    <w:pPr>
      <w:widowControl w:val="0"/>
      <w:ind w:left="0"/>
    </w:pPr>
    <w:rPr>
      <w:rFonts w:ascii="宋体" w:hAnsi="Courier New" w:eastAsia="宋体" w:cs="Times New Roman"/>
      <w:sz w:val="21"/>
      <w:szCs w:val="24"/>
    </w:rPr>
  </w:style>
  <w:style w:type="paragraph" w:customStyle="1" w:styleId="301">
    <w:name w:val="_正文段落"/>
    <w:basedOn w:val="1"/>
    <w:qFormat/>
    <w:uiPriority w:val="0"/>
    <w:pPr>
      <w:spacing w:line="360" w:lineRule="auto"/>
      <w:ind w:firstLine="200"/>
    </w:pPr>
    <w:rPr>
      <w:rFonts w:ascii="Times New Roman" w:hAnsi="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62</Pages>
  <Words>15467</Words>
  <Characters>16554</Characters>
  <TotalTime>69</TotalTime>
  <ScaleCrop>false</ScaleCrop>
  <LinksUpToDate>false</LinksUpToDate>
  <CharactersWithSpaces>16840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2024-03-13T15:14:00Z</dcterms:created>
  <dc:creator>dynabook</dc:creator>
  <cp:lastModifiedBy>WPS_1652342142</cp:lastModifiedBy>
  <cp:lastPrinted>2025-12-16T10:48:00Z</cp:lastPrinted>
  <dcterms:modified xsi:type="dcterms:W3CDTF">2025-12-25T01:30:25Z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73DAE27A5836493BBE324A39C9FBB345_13</vt:lpwstr>
  </property>
  <property fmtid="{D5CDD505-2E9C-101B-9397-08002B2CF9AE}" pid="4" name="KSOTemplateDocerSaveRecord">
    <vt:lpwstr>eyJoZGlkIjoiNDMzNTBiNGNkZmM5ZTRhNDYyMDY1MDZlYzdmOTk1YTQiLCJ1c2VySWQiOiIxMzY5NjAzNTY0In0=</vt:lpwstr>
  </property>
</Properties>
</file>